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EA76A4D">
      <w:pPr>
        <w:spacing w:line="560" w:lineRule="exact"/>
        <w:ind w:left="440" w:hanging="440" w:hangingChars="100"/>
        <w:jc w:val="center"/>
        <w:rPr>
          <w:rFonts w:ascii="Times New Roman" w:hAnsi="Times New Roman" w:eastAsia="微软雅黑"/>
          <w:sz w:val="44"/>
          <w:szCs w:val="52"/>
        </w:rPr>
      </w:pPr>
      <w:r>
        <w:rPr>
          <w:rFonts w:hint="eastAsia" w:ascii="Times New Roman" w:hAnsi="Times New Roman" w:eastAsia="微软雅黑"/>
          <w:sz w:val="44"/>
          <w:szCs w:val="52"/>
        </w:rPr>
        <w:t>2026年A超联赛支撑服务项目采购方案</w:t>
      </w:r>
    </w:p>
    <w:p w14:paraId="7717C155">
      <w:pPr>
        <w:spacing w:line="560" w:lineRule="exact"/>
        <w:jc w:val="center"/>
        <w:rPr>
          <w:rFonts w:ascii="Times New Roman" w:hAnsi="Times New Roman" w:eastAsia="Arial Unicode MS"/>
          <w:sz w:val="44"/>
          <w:szCs w:val="52"/>
        </w:rPr>
      </w:pPr>
    </w:p>
    <w:p w14:paraId="029B1657">
      <w:pPr>
        <w:spacing w:line="560" w:lineRule="exact"/>
        <w:ind w:firstLine="640" w:firstLineChars="200"/>
        <w:rPr>
          <w:rFonts w:hint="eastAsia" w:ascii="黑体" w:hAnsi="黑体" w:eastAsia="黑体" w:cs="黑体"/>
          <w:sz w:val="32"/>
          <w:szCs w:val="40"/>
        </w:rPr>
      </w:pPr>
      <w:r>
        <w:rPr>
          <w:rFonts w:hint="eastAsia" w:ascii="黑体" w:hAnsi="黑体" w:eastAsia="黑体" w:cs="黑体"/>
          <w:sz w:val="32"/>
          <w:szCs w:val="40"/>
        </w:rPr>
        <w:t>一、项目名称</w:t>
      </w:r>
      <w:bookmarkStart w:id="1" w:name="_GoBack"/>
      <w:bookmarkEnd w:id="1"/>
    </w:p>
    <w:p w14:paraId="2B2DCF99">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2026年“AI赋能千行百业超级联赛”支撑服务项目</w:t>
      </w:r>
    </w:p>
    <w:p w14:paraId="4EEB311A">
      <w:pPr>
        <w:spacing w:line="540" w:lineRule="exact"/>
        <w:ind w:firstLine="640" w:firstLineChars="200"/>
        <w:rPr>
          <w:rFonts w:eastAsia="黑体" w:cs="黑体"/>
          <w:sz w:val="32"/>
          <w:szCs w:val="32"/>
        </w:rPr>
      </w:pPr>
      <w:r>
        <w:rPr>
          <w:rFonts w:hint="eastAsia" w:eastAsia="黑体" w:cs="黑体"/>
          <w:sz w:val="32"/>
          <w:szCs w:val="32"/>
        </w:rPr>
        <w:t>二、采购单位</w:t>
      </w:r>
    </w:p>
    <w:p w14:paraId="18810891">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广西壮族自治区大数据发展局</w:t>
      </w:r>
    </w:p>
    <w:p w14:paraId="5B6AC781">
      <w:pPr>
        <w:spacing w:line="560" w:lineRule="exact"/>
        <w:ind w:firstLine="640" w:firstLineChars="200"/>
        <w:rPr>
          <w:rFonts w:hint="eastAsia" w:ascii="黑体" w:hAnsi="黑体" w:eastAsia="黑体" w:cs="黑体"/>
          <w:sz w:val="32"/>
          <w:szCs w:val="40"/>
        </w:rPr>
      </w:pPr>
      <w:r>
        <w:rPr>
          <w:rFonts w:hint="eastAsia" w:ascii="黑体" w:hAnsi="黑体" w:eastAsia="黑体" w:cs="黑体"/>
          <w:sz w:val="32"/>
          <w:szCs w:val="40"/>
        </w:rPr>
        <w:t>三、项目预算</w:t>
      </w:r>
    </w:p>
    <w:p w14:paraId="0635D5A7">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89.2929万元</w:t>
      </w:r>
    </w:p>
    <w:p w14:paraId="1CE450B2">
      <w:pPr>
        <w:spacing w:line="540" w:lineRule="exact"/>
        <w:ind w:firstLine="640" w:firstLineChars="200"/>
        <w:rPr>
          <w:rFonts w:eastAsia="黑体" w:cs="黑体"/>
          <w:sz w:val="32"/>
          <w:szCs w:val="32"/>
        </w:rPr>
      </w:pPr>
      <w:r>
        <w:rPr>
          <w:rFonts w:hint="eastAsia" w:eastAsia="黑体" w:cs="黑体"/>
          <w:sz w:val="32"/>
          <w:szCs w:val="32"/>
        </w:rPr>
        <w:t>四、服务时间</w:t>
      </w:r>
    </w:p>
    <w:p w14:paraId="7B1B04E5">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合同签订之日起至2026年“AI赋能千行百业超级联赛赛事结束</w:t>
      </w:r>
    </w:p>
    <w:p w14:paraId="01A9C769">
      <w:pPr>
        <w:spacing w:line="560" w:lineRule="exact"/>
        <w:ind w:firstLine="640" w:firstLineChars="200"/>
        <w:rPr>
          <w:rFonts w:hint="eastAsia" w:ascii="黑体" w:hAnsi="黑体" w:eastAsia="黑体" w:cs="黑体"/>
          <w:sz w:val="32"/>
          <w:szCs w:val="40"/>
        </w:rPr>
      </w:pPr>
      <w:r>
        <w:rPr>
          <w:rFonts w:hint="eastAsia" w:ascii="黑体" w:hAnsi="黑体" w:eastAsia="黑体" w:cs="黑体"/>
          <w:sz w:val="32"/>
          <w:szCs w:val="40"/>
        </w:rPr>
        <w:t>五、项目招标方式</w:t>
      </w:r>
    </w:p>
    <w:p w14:paraId="3D8F6034">
      <w:pPr>
        <w:spacing w:line="560" w:lineRule="exact"/>
        <w:ind w:firstLine="640" w:firstLineChars="200"/>
        <w:rPr>
          <w:rFonts w:ascii="Times New Roman" w:hAnsi="Times New Roman" w:eastAsia="仿宋"/>
          <w:sz w:val="32"/>
          <w:szCs w:val="40"/>
        </w:rPr>
      </w:pPr>
      <w:r>
        <w:rPr>
          <w:rFonts w:hint="eastAsia" w:ascii="Times New Roman" w:hAnsi="Times New Roman" w:eastAsia="仿宋"/>
          <w:sz w:val="32"/>
          <w:szCs w:val="40"/>
        </w:rPr>
        <w:t>局内控竞争性磋商</w:t>
      </w:r>
    </w:p>
    <w:p w14:paraId="40754CE0">
      <w:pPr>
        <w:spacing w:line="560" w:lineRule="exact"/>
        <w:ind w:firstLine="640" w:firstLineChars="200"/>
        <w:rPr>
          <w:rFonts w:hint="eastAsia" w:ascii="黑体" w:hAnsi="黑体" w:eastAsia="黑体" w:cs="黑体"/>
          <w:sz w:val="32"/>
          <w:szCs w:val="40"/>
        </w:rPr>
      </w:pPr>
      <w:r>
        <w:rPr>
          <w:rFonts w:hint="eastAsia" w:ascii="黑体" w:hAnsi="黑体" w:eastAsia="黑体" w:cs="黑体"/>
          <w:sz w:val="32"/>
          <w:szCs w:val="40"/>
        </w:rPr>
        <w:t>六、项目背景</w:t>
      </w:r>
    </w:p>
    <w:p w14:paraId="7784BEE2">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为落实自治区关于大力发展人工智能产业，推动人工智能与千行百业的深度融合，激发创新活力，培养高素质人才的战略部署，保障2026年“AI赋能千行百业超级联赛”赛道高效运行，现拟采购2026年“AI赋能千行百业超级联赛”支撑服务。</w:t>
      </w:r>
    </w:p>
    <w:p w14:paraId="3BA69B7F">
      <w:pPr>
        <w:spacing w:line="560" w:lineRule="exact"/>
        <w:ind w:firstLine="640" w:firstLineChars="200"/>
        <w:rPr>
          <w:rFonts w:ascii="Times New Roman" w:hAnsi="Times New Roman" w:eastAsia="黑体"/>
          <w:sz w:val="32"/>
          <w:szCs w:val="40"/>
        </w:rPr>
      </w:pPr>
      <w:r>
        <w:rPr>
          <w:rFonts w:hint="eastAsia" w:ascii="黑体" w:hAnsi="黑体" w:eastAsia="黑体" w:cs="黑体"/>
          <w:sz w:val="32"/>
          <w:szCs w:val="40"/>
        </w:rPr>
        <w:t>七、服务内容</w:t>
      </w:r>
    </w:p>
    <w:p w14:paraId="476EF30E">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采购专业支撑服务机构，为2026年“AI赋能千行百业超级联赛”（以下简称“A超”）及各子赛道（预计33个）提供全流程支撑服务，具体内容如下：</w:t>
      </w:r>
    </w:p>
    <w:p w14:paraId="1D6F6D10">
      <w:pPr>
        <w:spacing w:line="560" w:lineRule="exact"/>
        <w:ind w:firstLine="641" w:firstLineChars="200"/>
        <w:rPr>
          <w:rFonts w:hint="eastAsia" w:ascii="楷体" w:hAnsi="楷体" w:eastAsia="楷体" w:cs="楷体"/>
          <w:b/>
          <w:bCs/>
          <w:sz w:val="32"/>
          <w:szCs w:val="32"/>
          <w:lang w:val="en"/>
        </w:rPr>
      </w:pPr>
      <w:r>
        <w:rPr>
          <w:rFonts w:hint="eastAsia" w:ascii="楷体" w:hAnsi="楷体" w:eastAsia="楷体" w:cs="楷体"/>
          <w:b/>
          <w:bCs/>
          <w:sz w:val="32"/>
          <w:szCs w:val="32"/>
          <w:lang w:val="en"/>
        </w:rPr>
        <w:t>（一）赛事统筹</w:t>
      </w:r>
    </w:p>
    <w:p w14:paraId="1EC5F84A">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1.协助完成赛事相关方案编制及报批，明确赛事主体</w:t>
      </w:r>
      <w:r>
        <w:rPr>
          <w:rFonts w:hint="eastAsia" w:ascii="仿宋_GB2312" w:hAnsi="仿宋_GB2312" w:eastAsia="仿宋_GB2312" w:cs="仿宋_GB2312"/>
          <w:sz w:val="32"/>
          <w:szCs w:val="40"/>
          <w:lang w:val="en"/>
        </w:rPr>
        <w:t>、赛道分类、参赛对象、参赛要求、评委组成、赛事时间、工作机制</w:t>
      </w:r>
      <w:r>
        <w:rPr>
          <w:rFonts w:hint="eastAsia" w:ascii="仿宋_GB2312" w:hAnsi="仿宋_GB2312" w:eastAsia="仿宋_GB2312" w:cs="仿宋_GB2312"/>
          <w:sz w:val="32"/>
          <w:szCs w:val="40"/>
        </w:rPr>
        <w:t>等。</w:t>
      </w:r>
    </w:p>
    <w:p w14:paraId="62B808D7">
      <w:pPr>
        <w:spacing w:line="560" w:lineRule="exact"/>
        <w:ind w:firstLine="640" w:firstLineChars="200"/>
        <w:rPr>
          <w:rFonts w:hint="eastAsia" w:ascii="仿宋_GB2312" w:hAnsi="仿宋_GB2312" w:eastAsia="仿宋_GB2312" w:cs="仿宋_GB2312"/>
          <w:sz w:val="32"/>
          <w:szCs w:val="40"/>
          <w:lang w:val="en"/>
        </w:rPr>
      </w:pPr>
      <w:r>
        <w:rPr>
          <w:rFonts w:hint="eastAsia" w:ascii="仿宋_GB2312" w:hAnsi="仿宋_GB2312" w:eastAsia="仿宋_GB2312" w:cs="仿宋_GB2312"/>
          <w:sz w:val="32"/>
          <w:szCs w:val="40"/>
        </w:rPr>
        <w:t>2.</w:t>
      </w:r>
      <w:bookmarkStart w:id="0" w:name="OLE_LINK1"/>
      <w:r>
        <w:rPr>
          <w:rFonts w:hint="eastAsia" w:ascii="仿宋_GB2312" w:hAnsi="仿宋_GB2312" w:eastAsia="仿宋_GB2312" w:cs="仿宋_GB2312"/>
          <w:sz w:val="32"/>
          <w:szCs w:val="40"/>
        </w:rPr>
        <w:t>协助</w:t>
      </w:r>
      <w:bookmarkEnd w:id="0"/>
      <w:r>
        <w:rPr>
          <w:rFonts w:hint="eastAsia" w:ascii="仿宋_GB2312" w:hAnsi="仿宋_GB2312" w:eastAsia="仿宋_GB2312" w:cs="仿宋_GB2312"/>
          <w:sz w:val="32"/>
          <w:szCs w:val="40"/>
          <w:lang w:val="en"/>
        </w:rPr>
        <w:t>统筹协调各赛道、各承办单位、各支撑单位工作衔接。</w:t>
      </w:r>
    </w:p>
    <w:p w14:paraId="5A57C6C4">
      <w:pPr>
        <w:spacing w:line="560" w:lineRule="exact"/>
        <w:ind w:firstLine="640" w:firstLineChars="200"/>
        <w:rPr>
          <w:rFonts w:hint="eastAsia" w:ascii="仿宋_GB2312" w:hAnsi="仿宋_GB2312" w:eastAsia="仿宋_GB2312" w:cs="仿宋_GB2312"/>
          <w:sz w:val="32"/>
          <w:szCs w:val="40"/>
          <w:lang w:val="en"/>
        </w:rPr>
      </w:pPr>
      <w:r>
        <w:rPr>
          <w:rFonts w:hint="eastAsia" w:ascii="仿宋_GB2312" w:hAnsi="仿宋_GB2312" w:eastAsia="仿宋_GB2312" w:cs="仿宋_GB2312"/>
          <w:sz w:val="32"/>
          <w:szCs w:val="40"/>
        </w:rPr>
        <w:t>3.协助</w:t>
      </w:r>
      <w:r>
        <w:rPr>
          <w:rFonts w:hint="eastAsia" w:ascii="仿宋_GB2312" w:hAnsi="仿宋_GB2312" w:eastAsia="仿宋_GB2312" w:cs="仿宋_GB2312"/>
          <w:sz w:val="32"/>
          <w:szCs w:val="40"/>
          <w:lang w:val="en"/>
        </w:rPr>
        <w:t>按时收集、汇总各子赛事总体阶段进度信息，形成进展报告、总结报告等。</w:t>
      </w:r>
    </w:p>
    <w:p w14:paraId="047785F4">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4.协助对接各赛事承办单位，参与协调跨部门、跨领域的资源支持。</w:t>
      </w:r>
    </w:p>
    <w:p w14:paraId="78AE503F">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5.协助召开</w:t>
      </w:r>
      <w:r>
        <w:rPr>
          <w:rFonts w:ascii="仿宋_GB2312" w:hAnsi="仿宋_GB2312" w:eastAsia="仿宋_GB2312" w:cs="仿宋_GB2312"/>
          <w:sz w:val="32"/>
          <w:szCs w:val="40"/>
        </w:rPr>
        <w:t>A</w:t>
      </w:r>
      <w:r>
        <w:rPr>
          <w:rFonts w:hint="eastAsia" w:ascii="仿宋_GB2312" w:hAnsi="仿宋_GB2312" w:eastAsia="仿宋_GB2312" w:cs="仿宋_GB2312"/>
          <w:sz w:val="32"/>
          <w:szCs w:val="40"/>
        </w:rPr>
        <w:t>超联赛工作推进会、座谈会等会议，编写会议通知，做好参会人员收集、准备会议材料、现场会务等工作。</w:t>
      </w:r>
    </w:p>
    <w:p w14:paraId="099D2130">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6.协助开展</w:t>
      </w:r>
      <w:r>
        <w:rPr>
          <w:rFonts w:ascii="仿宋_GB2312" w:hAnsi="仿宋_GB2312" w:eastAsia="仿宋_GB2312" w:cs="仿宋_GB2312"/>
          <w:sz w:val="32"/>
          <w:szCs w:val="40"/>
        </w:rPr>
        <w:t>A</w:t>
      </w:r>
      <w:r>
        <w:rPr>
          <w:rFonts w:hint="eastAsia" w:ascii="仿宋_GB2312" w:hAnsi="仿宋_GB2312" w:eastAsia="仿宋_GB2312" w:cs="仿宋_GB2312"/>
          <w:sz w:val="32"/>
          <w:szCs w:val="40"/>
        </w:rPr>
        <w:t>超方案征求意见工作，发布方案征求意见通知、收集汇总各单位反馈意见，根据各单位反馈意见修改方案，形成可上报的方案。</w:t>
      </w:r>
    </w:p>
    <w:p w14:paraId="04A18BEC">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7.协助制定</w:t>
      </w:r>
      <w:r>
        <w:rPr>
          <w:rFonts w:ascii="仿宋_GB2312" w:hAnsi="仿宋_GB2312" w:eastAsia="仿宋_GB2312" w:cs="仿宋_GB2312"/>
          <w:sz w:val="32"/>
          <w:szCs w:val="40"/>
        </w:rPr>
        <w:t>A</w:t>
      </w:r>
      <w:r>
        <w:rPr>
          <w:rFonts w:hint="eastAsia" w:ascii="仿宋_GB2312" w:hAnsi="仿宋_GB2312" w:eastAsia="仿宋_GB2312" w:cs="仿宋_GB2312"/>
          <w:sz w:val="32"/>
          <w:szCs w:val="40"/>
        </w:rPr>
        <w:t>超联赛相关赛事效果评估体系并征求意见，各子赛事结束后对赛事效果进行评估汇总上报。</w:t>
      </w:r>
    </w:p>
    <w:p w14:paraId="6ECFD4AE">
      <w:pPr>
        <w:spacing w:line="560" w:lineRule="exact"/>
        <w:ind w:firstLine="641" w:firstLineChars="200"/>
        <w:rPr>
          <w:rFonts w:hint="eastAsia" w:ascii="楷体" w:hAnsi="楷体" w:eastAsia="楷体" w:cs="楷体"/>
          <w:b/>
          <w:bCs/>
          <w:sz w:val="32"/>
          <w:szCs w:val="32"/>
          <w:lang w:val="en"/>
        </w:rPr>
      </w:pPr>
      <w:r>
        <w:rPr>
          <w:rFonts w:hint="eastAsia" w:ascii="楷体" w:hAnsi="楷体" w:eastAsia="楷体" w:cs="楷体"/>
          <w:b/>
          <w:bCs/>
          <w:sz w:val="32"/>
          <w:szCs w:val="32"/>
          <w:lang w:val="en"/>
        </w:rPr>
        <w:t>（</w:t>
      </w:r>
      <w:r>
        <w:rPr>
          <w:rFonts w:hint="eastAsia" w:ascii="楷体" w:hAnsi="楷体" w:eastAsia="楷体" w:cs="楷体"/>
          <w:b/>
          <w:bCs/>
          <w:sz w:val="32"/>
          <w:szCs w:val="32"/>
        </w:rPr>
        <w:t>二</w:t>
      </w:r>
      <w:r>
        <w:rPr>
          <w:rFonts w:hint="eastAsia" w:ascii="楷体" w:hAnsi="楷体" w:eastAsia="楷体" w:cs="楷体"/>
          <w:b/>
          <w:bCs/>
          <w:sz w:val="32"/>
          <w:szCs w:val="32"/>
          <w:lang w:val="en"/>
        </w:rPr>
        <w:t>）赛事</w:t>
      </w:r>
      <w:r>
        <w:rPr>
          <w:rFonts w:hint="eastAsia" w:ascii="楷体" w:hAnsi="楷体" w:eastAsia="楷体" w:cs="楷体"/>
          <w:b/>
          <w:bCs/>
          <w:sz w:val="32"/>
          <w:szCs w:val="32"/>
        </w:rPr>
        <w:t>组织</w:t>
      </w:r>
    </w:p>
    <w:p w14:paraId="14A58B15">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1.协助完成各子赛的赛事调度工作，包括筹备、组织、开展相关调度会议工作，收集各子赛事的赛事进展情况、赛事启动/决赛/路演时间、是否在东盟国家或港澳台办赛、赛事联系人等相关赛事信息。</w:t>
      </w:r>
    </w:p>
    <w:p w14:paraId="344BC1C2">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2.协助收集各子赛流量人物、龙头企业、揭榜挂帅、东盟+港澳台团队成果转化、应用场景、产业落地、行业高质量数据集以及下一步工作计划等相关赛事信息。</w:t>
      </w:r>
    </w:p>
    <w:p w14:paraId="362E0370">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3.协助收集各子赛事东盟国家、港澳台地区参赛队伍情况，要具体到每个国家或地区各有多少支参赛队伍。</w:t>
      </w:r>
    </w:p>
    <w:p w14:paraId="2F875C22">
      <w:pPr>
        <w:spacing w:line="560" w:lineRule="exact"/>
        <w:ind w:firstLine="640" w:firstLineChars="200"/>
      </w:pPr>
      <w:r>
        <w:rPr>
          <w:rFonts w:hint="eastAsia" w:ascii="仿宋_GB2312" w:hAnsi="仿宋_GB2312" w:eastAsia="仿宋_GB2312" w:cs="仿宋_GB2312"/>
          <w:sz w:val="32"/>
          <w:szCs w:val="40"/>
        </w:rPr>
        <w:t>4.协助收集各子赛事优秀科技成果，对收集到的赛事成果进行汇总、分析、筛选、对接等</w:t>
      </w:r>
      <w:r>
        <w:rPr>
          <w:rFonts w:hint="eastAsia" w:ascii="Times New Roman" w:hAnsi="Times New Roman" w:eastAsia="仿宋_GB2312"/>
          <w:sz w:val="32"/>
        </w:rPr>
        <w:t>，形成</w:t>
      </w:r>
      <w:r>
        <w:rPr>
          <w:rFonts w:hint="eastAsia" w:ascii="仿宋_GB2312" w:hAnsi="仿宋_GB2312" w:eastAsia="仿宋_GB2312" w:cs="仿宋_GB2312"/>
          <w:sz w:val="32"/>
          <w:szCs w:val="40"/>
        </w:rPr>
        <w:t>科技成果转化清单，</w:t>
      </w:r>
      <w:r>
        <w:rPr>
          <w:rFonts w:hint="eastAsia" w:ascii="Times New Roman" w:hAnsi="Times New Roman" w:eastAsia="仿宋_GB2312"/>
          <w:sz w:val="32"/>
        </w:rPr>
        <w:t>推动成果与产业链各环节的动态适配、高效联动</w:t>
      </w:r>
      <w:r>
        <w:rPr>
          <w:rFonts w:hint="eastAsia" w:ascii="仿宋_GB2312" w:hAnsi="仿宋_GB2312" w:eastAsia="仿宋_GB2312" w:cs="仿宋_GB2312"/>
          <w:sz w:val="32"/>
          <w:szCs w:val="40"/>
        </w:rPr>
        <w:t>。</w:t>
      </w:r>
    </w:p>
    <w:p w14:paraId="7F73A0CF">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5.协助收集各子赛事产业落地项目，收集各子赛事办赛过程中落地广西的产业项目，定期跟进项目落地进展情况，动态掌握各类项目推进情况、落地难点及实际需求。</w:t>
      </w:r>
    </w:p>
    <w:p w14:paraId="0601F4FE">
      <w:pPr>
        <w:spacing w:line="590" w:lineRule="exact"/>
        <w:ind w:firstLine="640" w:firstLineChars="200"/>
        <w:rPr>
          <w:rFonts w:hint="eastAsia" w:ascii="仿宋_GB2312" w:hAnsi="仿宋_GB2312" w:eastAsia="仿宋_GB2312" w:cs="仿宋_GB2312"/>
          <w:sz w:val="32"/>
          <w:szCs w:val="40"/>
        </w:rPr>
      </w:pPr>
      <w:r>
        <w:rPr>
          <w:rFonts w:hint="eastAsia" w:ascii="Times New Roman" w:hAnsi="Times New Roman" w:eastAsia="仿宋_GB2312"/>
          <w:sz w:val="32"/>
        </w:rPr>
        <w:t>6.</w:t>
      </w:r>
      <w:r>
        <w:rPr>
          <w:rFonts w:hint="eastAsia" w:ascii="仿宋_GB2312" w:hAnsi="仿宋_GB2312" w:eastAsia="仿宋_GB2312" w:cs="仿宋_GB2312"/>
          <w:sz w:val="32"/>
          <w:szCs w:val="40"/>
        </w:rPr>
        <w:t>协助</w:t>
      </w:r>
      <w:r>
        <w:rPr>
          <w:rFonts w:hint="eastAsia" w:ascii="Times New Roman" w:hAnsi="Times New Roman" w:eastAsia="仿宋_GB2312"/>
          <w:sz w:val="32"/>
        </w:rPr>
        <w:t>收集</w:t>
      </w:r>
      <w:r>
        <w:rPr>
          <w:rFonts w:ascii="Times New Roman" w:hAnsi="Times New Roman" w:eastAsia="仿宋_GB2312"/>
          <w:sz w:val="32"/>
        </w:rPr>
        <w:t>投资机构意向合作项目</w:t>
      </w:r>
      <w:r>
        <w:rPr>
          <w:rFonts w:hint="eastAsia" w:ascii="Times New Roman" w:hAnsi="Times New Roman" w:eastAsia="仿宋_GB2312"/>
          <w:sz w:val="32"/>
        </w:rPr>
        <w:t>，</w:t>
      </w:r>
      <w:r>
        <w:rPr>
          <w:rFonts w:hint="eastAsia" w:ascii="Times New Roman" w:hAnsi="Times New Roman" w:eastAsia="仿宋_GB2312"/>
          <w:sz w:val="32"/>
          <w:szCs w:val="32"/>
        </w:rPr>
        <w:t>收集各子赛事办赛过程中投资机构对赛事项目的投资意向清单，并持续跟进项目投资进展情况。</w:t>
      </w:r>
    </w:p>
    <w:p w14:paraId="732A296E">
      <w:pPr>
        <w:spacing w:line="560" w:lineRule="exact"/>
        <w:ind w:firstLine="641" w:firstLineChars="200"/>
        <w:rPr>
          <w:rFonts w:hint="eastAsia" w:ascii="楷体" w:hAnsi="楷体" w:eastAsia="楷体" w:cs="楷体"/>
          <w:b/>
          <w:bCs/>
          <w:sz w:val="32"/>
          <w:szCs w:val="32"/>
        </w:rPr>
      </w:pPr>
      <w:r>
        <w:rPr>
          <w:rFonts w:hint="eastAsia" w:ascii="楷体" w:hAnsi="楷体" w:eastAsia="楷体" w:cs="楷体"/>
          <w:b/>
          <w:bCs/>
          <w:sz w:val="32"/>
          <w:szCs w:val="32"/>
          <w:lang w:val="en"/>
        </w:rPr>
        <w:t>（</w:t>
      </w:r>
      <w:r>
        <w:rPr>
          <w:rFonts w:hint="eastAsia" w:ascii="楷体" w:hAnsi="楷体" w:eastAsia="楷体" w:cs="楷体"/>
          <w:b/>
          <w:bCs/>
          <w:sz w:val="32"/>
          <w:szCs w:val="32"/>
        </w:rPr>
        <w:t>三</w:t>
      </w:r>
      <w:r>
        <w:rPr>
          <w:rFonts w:hint="eastAsia" w:ascii="楷体" w:hAnsi="楷体" w:eastAsia="楷体" w:cs="楷体"/>
          <w:b/>
          <w:bCs/>
          <w:sz w:val="32"/>
          <w:szCs w:val="32"/>
          <w:lang w:val="en"/>
        </w:rPr>
        <w:t>）</w:t>
      </w:r>
      <w:r>
        <w:rPr>
          <w:rFonts w:hint="eastAsia" w:ascii="楷体" w:hAnsi="楷体" w:eastAsia="楷体" w:cs="楷体"/>
          <w:b/>
          <w:bCs/>
          <w:sz w:val="32"/>
          <w:szCs w:val="32"/>
        </w:rPr>
        <w:t>其他事项</w:t>
      </w:r>
    </w:p>
    <w:p w14:paraId="0BC3D6F8">
      <w:pPr>
        <w:spacing w:line="560" w:lineRule="exact"/>
        <w:ind w:firstLine="640" w:firstLineChars="200"/>
        <w:rPr>
          <w:rFonts w:hint="eastAsia" w:ascii="仿宋_GB2312" w:hAnsi="仿宋_GB2312" w:eastAsia="仿宋_GB2312" w:cs="仿宋_GB2312"/>
          <w:sz w:val="32"/>
          <w:szCs w:val="40"/>
        </w:rPr>
      </w:pPr>
      <w:r>
        <w:rPr>
          <w:rFonts w:hint="eastAsia" w:ascii="Times New Roman" w:hAnsi="Times New Roman" w:eastAsia="仿宋_GB2312" w:cs="仿宋_GB2312"/>
          <w:sz w:val="32"/>
          <w:szCs w:val="32"/>
          <w:shd w:val="clear" w:color="auto" w:fill="FFFFFF"/>
        </w:rPr>
        <w:t>1.协助完成</w:t>
      </w:r>
      <w:r>
        <w:rPr>
          <w:rFonts w:ascii="Times New Roman" w:hAnsi="Times New Roman" w:eastAsia="仿宋_GB2312" w:cs="仿宋_GB2312"/>
          <w:sz w:val="32"/>
          <w:szCs w:val="32"/>
          <w:shd w:val="clear" w:color="auto" w:fill="FFFFFF"/>
        </w:rPr>
        <w:t>A</w:t>
      </w:r>
      <w:r>
        <w:rPr>
          <w:rFonts w:hint="eastAsia" w:ascii="Times New Roman" w:hAnsi="Times New Roman" w:eastAsia="仿宋_GB2312" w:cs="仿宋_GB2312"/>
          <w:sz w:val="32"/>
          <w:szCs w:val="32"/>
          <w:shd w:val="clear" w:color="auto" w:fill="FFFFFF"/>
        </w:rPr>
        <w:t>超重要活动方案</w:t>
      </w:r>
      <w:r>
        <w:rPr>
          <w:rFonts w:hint="eastAsia" w:ascii="仿宋_GB2312" w:hAnsi="仿宋_GB2312" w:eastAsia="仿宋_GB2312" w:cs="仿宋_GB2312"/>
          <w:sz w:val="32"/>
          <w:szCs w:val="40"/>
        </w:rPr>
        <w:t>相关方案编制，明确活动的内容和流程，协助完成A超重要活动素材收集汇总工作，包括优秀获奖成果项目收集汇总、筛选，对接成果项目企业等。</w:t>
      </w:r>
    </w:p>
    <w:p w14:paraId="70338576">
      <w:pPr>
        <w:spacing w:line="560" w:lineRule="exact"/>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2.协助完成重要活动的会务工作，包括会议通知印发、收集汇总参会人员信息，收集有关单位材料素材，会场布置，座位安排，汇总参会人员出入场引导，会场秩序维护等。</w:t>
      </w:r>
    </w:p>
    <w:p w14:paraId="6AF69666">
      <w:pPr>
        <w:spacing w:line="599" w:lineRule="exact"/>
        <w:ind w:firstLine="640" w:firstLineChars="200"/>
        <w:rPr>
          <w:rFonts w:ascii="Times New Roman" w:hAnsi="Times New Roman" w:eastAsia="仿宋_GB2312" w:cs="仿宋_GB2312"/>
          <w:sz w:val="32"/>
          <w:szCs w:val="32"/>
          <w:shd w:val="clear" w:color="auto" w:fill="FFFFFF"/>
        </w:rPr>
      </w:pPr>
      <w:r>
        <w:rPr>
          <w:rFonts w:hint="eastAsia" w:ascii="Times New Roman" w:hAnsi="Times New Roman" w:eastAsia="仿宋_GB2312" w:cs="仿宋_GB2312"/>
          <w:sz w:val="32"/>
          <w:szCs w:val="32"/>
          <w:shd w:val="clear" w:color="auto" w:fill="FFFFFF"/>
        </w:rPr>
        <w:t>3.协助完成协调组织各赛事承办单位开展优秀成果和产业落地项目筛选，协助活动优秀成果和产业落地项目推介和展示。</w:t>
      </w:r>
    </w:p>
    <w:p w14:paraId="71AC2EA4">
      <w:pPr>
        <w:spacing w:line="599" w:lineRule="exact"/>
        <w:ind w:firstLine="640" w:firstLineChars="200"/>
        <w:rPr>
          <w:rFonts w:hint="eastAsia" w:ascii="方正黑体_GBK" w:hAnsi="方正黑体_GBK" w:eastAsia="方正黑体_GBK" w:cs="方正黑体_GBK"/>
          <w:sz w:val="32"/>
          <w:szCs w:val="32"/>
          <w:lang w:val="en"/>
        </w:rPr>
      </w:pPr>
      <w:r>
        <w:rPr>
          <w:rFonts w:hint="eastAsia" w:ascii="方正黑体_GBK" w:hAnsi="方正黑体_GBK" w:eastAsia="方正黑体_GBK" w:cs="方正黑体_GBK"/>
          <w:sz w:val="32"/>
          <w:szCs w:val="32"/>
        </w:rPr>
        <w:t>八、实施要求</w:t>
      </w:r>
    </w:p>
    <w:p w14:paraId="500551E0">
      <w:pPr>
        <w:spacing w:line="560" w:lineRule="exact"/>
        <w:ind w:firstLine="641" w:firstLineChars="200"/>
        <w:rPr>
          <w:rFonts w:hint="eastAsia" w:ascii="楷体" w:hAnsi="楷体" w:eastAsia="楷体" w:cs="楷体"/>
          <w:b/>
          <w:bCs/>
          <w:sz w:val="32"/>
          <w:szCs w:val="32"/>
          <w:lang w:val="en"/>
        </w:rPr>
      </w:pPr>
      <w:r>
        <w:rPr>
          <w:rFonts w:hint="eastAsia" w:ascii="楷体" w:hAnsi="楷体" w:eastAsia="楷体" w:cs="楷体"/>
          <w:b/>
          <w:bCs/>
          <w:sz w:val="32"/>
          <w:szCs w:val="32"/>
          <w:lang w:val="en"/>
        </w:rPr>
        <w:t>（</w:t>
      </w:r>
      <w:r>
        <w:rPr>
          <w:rFonts w:hint="eastAsia" w:ascii="楷体" w:hAnsi="楷体" w:eastAsia="楷体" w:cs="楷体"/>
          <w:b/>
          <w:bCs/>
          <w:sz w:val="32"/>
          <w:szCs w:val="32"/>
        </w:rPr>
        <w:t>一</w:t>
      </w:r>
      <w:r>
        <w:rPr>
          <w:rFonts w:hint="eastAsia" w:ascii="楷体" w:hAnsi="楷体" w:eastAsia="楷体" w:cs="楷体"/>
          <w:b/>
          <w:bCs/>
          <w:sz w:val="32"/>
          <w:szCs w:val="32"/>
          <w:lang w:val="en"/>
        </w:rPr>
        <w:t>）项目人员要求</w:t>
      </w:r>
    </w:p>
    <w:p w14:paraId="4496D475">
      <w:pPr>
        <w:spacing w:line="560" w:lineRule="exact"/>
        <w:ind w:firstLine="643" w:firstLineChars="20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1.项目人员：</w:t>
      </w:r>
      <w:r>
        <w:rPr>
          <w:rFonts w:hint="eastAsia" w:ascii="仿宋_GB2312" w:hAnsi="仿宋_GB2312" w:eastAsia="仿宋_GB2312" w:cs="仿宋_GB2312"/>
          <w:sz w:val="32"/>
          <w:szCs w:val="32"/>
        </w:rPr>
        <w:t>服务单位须组建经验丰富的专职支撑团队，并制定详细分工，确保项目开展顺利。</w:t>
      </w:r>
    </w:p>
    <w:p w14:paraId="331482CD">
      <w:pPr>
        <w:spacing w:line="560" w:lineRule="exact"/>
        <w:ind w:firstLine="643" w:firstLineChars="200"/>
        <w:rPr>
          <w:rFonts w:hint="eastAsia" w:ascii="仿宋_GB2312" w:hAnsi="仿宋_GB2312" w:eastAsia="仿宋_GB2312" w:cs="仿宋_GB2312"/>
          <w:sz w:val="32"/>
          <w:szCs w:val="32"/>
          <w:lang w:val="en"/>
        </w:rPr>
      </w:pPr>
      <w:r>
        <w:rPr>
          <w:rFonts w:hint="eastAsia" w:ascii="仿宋_GB2312" w:hAnsi="仿宋_GB2312" w:eastAsia="仿宋_GB2312" w:cs="仿宋_GB2312"/>
          <w:b/>
          <w:bCs/>
          <w:sz w:val="32"/>
          <w:szCs w:val="32"/>
        </w:rPr>
        <w:t>2.现场服务</w:t>
      </w:r>
      <w:r>
        <w:rPr>
          <w:rFonts w:hint="eastAsia" w:ascii="仿宋_GB2312" w:hAnsi="仿宋_GB2312" w:eastAsia="仿宋_GB2312" w:cs="仿宋_GB2312"/>
          <w:b/>
          <w:bCs/>
          <w:sz w:val="32"/>
          <w:szCs w:val="32"/>
          <w:lang w:val="en"/>
        </w:rPr>
        <w:t>：</w:t>
      </w:r>
      <w:r>
        <w:rPr>
          <w:rFonts w:hint="eastAsia" w:ascii="仿宋_GB2312" w:hAnsi="仿宋_GB2312" w:eastAsia="仿宋_GB2312" w:cs="仿宋_GB2312"/>
          <w:sz w:val="32"/>
          <w:szCs w:val="32"/>
        </w:rPr>
        <w:t>服务单位需</w:t>
      </w:r>
      <w:r>
        <w:rPr>
          <w:rFonts w:hint="eastAsia" w:ascii="仿宋_GB2312" w:hAnsi="仿宋_GB2312" w:eastAsia="仿宋_GB2312" w:cs="仿宋_GB2312"/>
          <w:sz w:val="32"/>
          <w:szCs w:val="32"/>
          <w:lang w:val="en-US" w:eastAsia="zh-CN"/>
        </w:rPr>
        <w:t>委派专业</w:t>
      </w:r>
      <w:r>
        <w:rPr>
          <w:rFonts w:hint="eastAsia" w:ascii="仿宋_GB2312" w:hAnsi="仿宋_GB2312" w:eastAsia="仿宋_GB2312" w:cs="仿宋_GB2312"/>
          <w:sz w:val="32"/>
          <w:szCs w:val="32"/>
        </w:rPr>
        <w:t>团队赴采购指定工作地点开展现场服务支撑。</w:t>
      </w:r>
    </w:p>
    <w:p w14:paraId="334042F2">
      <w:pPr>
        <w:spacing w:line="560" w:lineRule="exact"/>
        <w:ind w:firstLine="641" w:firstLineChars="200"/>
        <w:rPr>
          <w:rFonts w:hint="eastAsia" w:ascii="楷体" w:hAnsi="楷体" w:eastAsia="楷体" w:cs="楷体"/>
          <w:b/>
          <w:bCs/>
          <w:sz w:val="32"/>
          <w:szCs w:val="32"/>
          <w:lang w:val="en"/>
        </w:rPr>
      </w:pPr>
      <w:r>
        <w:rPr>
          <w:rFonts w:hint="eastAsia" w:ascii="楷体" w:hAnsi="楷体" w:eastAsia="楷体" w:cs="楷体"/>
          <w:b/>
          <w:bCs/>
          <w:sz w:val="32"/>
          <w:szCs w:val="32"/>
          <w:lang w:val="en"/>
        </w:rPr>
        <w:t>（</w:t>
      </w:r>
      <w:r>
        <w:rPr>
          <w:rFonts w:hint="eastAsia" w:ascii="楷体" w:hAnsi="楷体" w:eastAsia="楷体" w:cs="楷体"/>
          <w:b/>
          <w:bCs/>
          <w:sz w:val="32"/>
          <w:szCs w:val="32"/>
        </w:rPr>
        <w:t>二</w:t>
      </w:r>
      <w:r>
        <w:rPr>
          <w:rFonts w:hint="eastAsia" w:ascii="楷体" w:hAnsi="楷体" w:eastAsia="楷体" w:cs="楷体"/>
          <w:b/>
          <w:bCs/>
          <w:sz w:val="32"/>
          <w:szCs w:val="32"/>
          <w:lang w:val="en"/>
        </w:rPr>
        <w:t>）成果要求</w:t>
      </w:r>
    </w:p>
    <w:p w14:paraId="5AFB6E4E">
      <w:pPr>
        <w:spacing w:line="360" w:lineRule="auto"/>
        <w:ind w:firstLine="640" w:firstLineChars="200"/>
        <w:rPr>
          <w:rFonts w:hint="eastAsia" w:ascii="仿宋_GB2312" w:hAnsi="仿宋_GB2312" w:eastAsia="仿宋_GB2312" w:cs="仿宋_GB2312"/>
          <w:sz w:val="32"/>
          <w:szCs w:val="32"/>
          <w:lang w:val="en"/>
        </w:rPr>
      </w:pPr>
      <w:r>
        <w:rPr>
          <w:rFonts w:hint="eastAsia" w:ascii="仿宋_GB2312" w:hAnsi="仿宋_GB2312" w:eastAsia="仿宋_GB2312" w:cs="仿宋_GB2312"/>
          <w:sz w:val="32"/>
          <w:szCs w:val="32"/>
        </w:rPr>
        <w:t>按采购内容要求提交各项服务的成果证明清单（如会议通知，赛事相关进展报告，各子赛事东盟参赛队伍、赛事时间安排等相关赛事情况表，各子赛事龙头企业/流量人物/东盟国家或地区办赛/成果转化等相关信息表，优秀科技成果、企业落地项目等相关表格）及最终总结报告</w:t>
      </w:r>
      <w:r>
        <w:rPr>
          <w:rFonts w:hint="eastAsia" w:ascii="仿宋_GB2312" w:hAnsi="仿宋_GB2312" w:eastAsia="仿宋_GB2312" w:cs="仿宋_GB2312"/>
          <w:sz w:val="32"/>
          <w:szCs w:val="32"/>
          <w:lang w:val="en"/>
        </w:rPr>
        <w:t>。</w:t>
      </w:r>
    </w:p>
    <w:p w14:paraId="28B81481">
      <w:pPr>
        <w:spacing w:line="560" w:lineRule="exact"/>
        <w:ind w:firstLine="640" w:firstLineChars="200"/>
        <w:rPr>
          <w:rFonts w:hint="eastAsia" w:ascii="黑体" w:hAnsi="黑体" w:eastAsia="黑体" w:cs="黑体"/>
          <w:sz w:val="32"/>
          <w:szCs w:val="40"/>
        </w:rPr>
      </w:pPr>
      <w:r>
        <w:rPr>
          <w:rFonts w:hint="eastAsia" w:ascii="黑体" w:hAnsi="黑体" w:eastAsia="黑体" w:cs="黑体"/>
          <w:sz w:val="32"/>
          <w:szCs w:val="40"/>
        </w:rPr>
        <w:t>九、付款方式</w:t>
      </w:r>
    </w:p>
    <w:p w14:paraId="5400FC0B">
      <w:pPr>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1.合同签订后10日内，由采购人支付成交供应商合同总金额的50%。</w:t>
      </w:r>
    </w:p>
    <w:p w14:paraId="1F767831">
      <w:pPr>
        <w:ind w:firstLine="640" w:firstLineChars="200"/>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2.供应商完成全部服务内容、向采购人交付服务成果</w:t>
      </w:r>
      <w:r>
        <w:rPr>
          <w:rFonts w:hint="eastAsia" w:ascii="仿宋_GB2312" w:hAnsi="仿宋_GB2312" w:eastAsia="仿宋_GB2312" w:cs="仿宋_GB2312"/>
          <w:sz w:val="32"/>
          <w:szCs w:val="32"/>
        </w:rPr>
        <w:t>并经</w:t>
      </w:r>
      <w:r>
        <w:rPr>
          <w:rFonts w:hint="eastAsia" w:ascii="仿宋_GB2312" w:hAnsi="仿宋_GB2312" w:eastAsia="仿宋_GB2312" w:cs="仿宋_GB2312"/>
          <w:sz w:val="32"/>
          <w:szCs w:val="40"/>
        </w:rPr>
        <w:t>采购人</w:t>
      </w:r>
      <w:r>
        <w:rPr>
          <w:rFonts w:hint="eastAsia" w:ascii="仿宋_GB2312" w:hAnsi="仿宋_GB2312" w:eastAsia="仿宋_GB2312" w:cs="仿宋_GB2312"/>
          <w:sz w:val="32"/>
          <w:szCs w:val="32"/>
        </w:rPr>
        <w:t>验收合格后</w:t>
      </w:r>
      <w:r>
        <w:rPr>
          <w:rFonts w:hint="eastAsia" w:ascii="仿宋_GB2312" w:hAnsi="仿宋_GB2312" w:eastAsia="仿宋_GB2312" w:cs="仿宋_GB2312"/>
          <w:sz w:val="32"/>
          <w:szCs w:val="40"/>
        </w:rPr>
        <w:t>10日内，采购人支付成交供应商合同金额的50%。</w:t>
      </w:r>
    </w:p>
    <w:p w14:paraId="5FFA7C30">
      <w:pPr>
        <w:ind w:firstLine="640" w:firstLineChars="200"/>
        <w:rPr>
          <w:rFonts w:hint="eastAsia" w:ascii="仿宋_GB2312" w:hAnsi="仿宋_GB2312" w:eastAsia="仿宋_GB2312" w:cs="仿宋_GB2312"/>
          <w:sz w:val="32"/>
          <w:szCs w:val="40"/>
        </w:rPr>
        <w:sectPr>
          <w:footerReference r:id="rId3" w:type="default"/>
          <w:pgSz w:w="11906" w:h="16838"/>
          <w:pgMar w:top="1440" w:right="1800" w:bottom="1440" w:left="1800" w:header="851" w:footer="992" w:gutter="0"/>
          <w:cols w:space="720" w:num="1"/>
          <w:docGrid w:type="lines" w:linePitch="312" w:charSpace="0"/>
        </w:sectPr>
      </w:pPr>
      <w:r>
        <w:rPr>
          <w:rFonts w:hint="eastAsia" w:ascii="仿宋_GB2312" w:hAnsi="仿宋_GB2312" w:eastAsia="仿宋_GB2312" w:cs="仿宋_GB2312"/>
          <w:sz w:val="32"/>
          <w:szCs w:val="40"/>
        </w:rPr>
        <w:t>3.每次付款前5日，供应商必须提供相应数额的增值税发票及请款函。</w:t>
      </w:r>
    </w:p>
    <w:p w14:paraId="4200B81F">
      <w:pPr>
        <w:spacing w:line="580" w:lineRule="exact"/>
        <w:jc w:val="left"/>
        <w:rPr>
          <w:rFonts w:hint="eastAsia" w:ascii="黑体" w:hAnsi="黑体" w:eastAsia="黑体" w:cs="黑体"/>
          <w:sz w:val="28"/>
          <w:szCs w:val="28"/>
        </w:rPr>
      </w:pPr>
      <w:r>
        <w:rPr>
          <w:rFonts w:hint="eastAsia" w:ascii="黑体" w:hAnsi="黑体" w:eastAsia="黑体" w:cs="黑体"/>
          <w:sz w:val="28"/>
          <w:szCs w:val="28"/>
        </w:rPr>
        <w:t>附件</w:t>
      </w:r>
    </w:p>
    <w:p w14:paraId="6DCEEF11">
      <w:pPr>
        <w:spacing w:line="580" w:lineRule="exact"/>
        <w:jc w:val="center"/>
        <w:rPr>
          <w:rFonts w:ascii="Times New Roman" w:hAnsi="Times New Roman" w:eastAsia="微软雅黑"/>
          <w:sz w:val="44"/>
          <w:szCs w:val="52"/>
        </w:rPr>
      </w:pPr>
      <w:r>
        <w:rPr>
          <w:rFonts w:hint="eastAsia" w:ascii="Times New Roman" w:hAnsi="Times New Roman" w:eastAsia="微软雅黑"/>
          <w:sz w:val="44"/>
          <w:szCs w:val="52"/>
        </w:rPr>
        <w:t>2026年“AI赋能千行百业超级联赛”运营服务采购评分标准</w:t>
      </w:r>
    </w:p>
    <w:p w14:paraId="0DAF83FF">
      <w:pPr>
        <w:spacing w:line="580" w:lineRule="exact"/>
        <w:jc w:val="center"/>
        <w:rPr>
          <w:rFonts w:ascii="Times New Roman" w:hAnsi="Times New Roman" w:eastAsia="微软雅黑"/>
          <w:sz w:val="44"/>
          <w:szCs w:val="52"/>
        </w:rPr>
      </w:pPr>
    </w:p>
    <w:tbl>
      <w:tblPr>
        <w:tblStyle w:val="11"/>
        <w:tblW w:w="4998" w:type="pct"/>
        <w:tblInd w:w="0" w:type="dxa"/>
        <w:tblLayout w:type="autofit"/>
        <w:tblCellMar>
          <w:top w:w="0" w:type="dxa"/>
          <w:left w:w="108" w:type="dxa"/>
          <w:bottom w:w="0" w:type="dxa"/>
          <w:right w:w="108" w:type="dxa"/>
        </w:tblCellMar>
      </w:tblPr>
      <w:tblGrid>
        <w:gridCol w:w="842"/>
        <w:gridCol w:w="1853"/>
        <w:gridCol w:w="4759"/>
        <w:gridCol w:w="1065"/>
      </w:tblGrid>
      <w:tr w14:paraId="230AE122">
        <w:trPr>
          <w:trHeight w:val="371" w:hRule="atLeast"/>
        </w:trPr>
        <w:tc>
          <w:tcPr>
            <w:tcW w:w="842" w:type="dxa"/>
            <w:tcBorders>
              <w:top w:val="single" w:color="000000" w:sz="4" w:space="0"/>
              <w:left w:val="single" w:color="000000" w:sz="4" w:space="0"/>
              <w:bottom w:val="single" w:color="000000" w:sz="4" w:space="0"/>
              <w:right w:val="single" w:color="000000" w:sz="4" w:space="0"/>
            </w:tcBorders>
            <w:vAlign w:val="center"/>
          </w:tcPr>
          <w:p w14:paraId="6F868F9F">
            <w:pPr>
              <w:widowControl/>
              <w:spacing w:line="480" w:lineRule="exact"/>
              <w:jc w:val="center"/>
              <w:rPr>
                <w:rFonts w:ascii="Times New Roman" w:hAnsi="Times New Roman" w:cs="宋体"/>
                <w:b/>
                <w:bCs/>
                <w:kern w:val="0"/>
                <w:sz w:val="24"/>
                <w:lang w:bidi="ar"/>
              </w:rPr>
            </w:pPr>
            <w:r>
              <w:rPr>
                <w:rFonts w:hint="eastAsia" w:ascii="Times New Roman" w:hAnsi="Times New Roman" w:cs="宋体"/>
                <w:b/>
                <w:bCs/>
                <w:kern w:val="0"/>
                <w:sz w:val="24"/>
              </w:rPr>
              <w:t>序号</w:t>
            </w:r>
          </w:p>
        </w:tc>
        <w:tc>
          <w:tcPr>
            <w:tcW w:w="1853" w:type="dxa"/>
            <w:tcBorders>
              <w:top w:val="single" w:color="000000" w:sz="4" w:space="0"/>
              <w:left w:val="single" w:color="000000" w:sz="4" w:space="0"/>
              <w:bottom w:val="single" w:color="000000" w:sz="4" w:space="0"/>
              <w:right w:val="single" w:color="000000" w:sz="4" w:space="0"/>
            </w:tcBorders>
            <w:vAlign w:val="center"/>
          </w:tcPr>
          <w:p w14:paraId="28D76320">
            <w:pPr>
              <w:widowControl/>
              <w:spacing w:line="480" w:lineRule="exact"/>
              <w:jc w:val="center"/>
              <w:rPr>
                <w:rFonts w:ascii="Times New Roman" w:hAnsi="Times New Roman" w:cs="宋体"/>
                <w:b/>
                <w:bCs/>
                <w:kern w:val="0"/>
                <w:sz w:val="24"/>
                <w:lang w:bidi="ar"/>
              </w:rPr>
            </w:pPr>
            <w:r>
              <w:rPr>
                <w:rFonts w:hint="eastAsia" w:ascii="Times New Roman" w:hAnsi="Times New Roman" w:cs="宋体"/>
                <w:b/>
                <w:bCs/>
                <w:kern w:val="0"/>
                <w:sz w:val="24"/>
              </w:rPr>
              <w:t>类别</w:t>
            </w:r>
          </w:p>
        </w:tc>
        <w:tc>
          <w:tcPr>
            <w:tcW w:w="4759" w:type="dxa"/>
            <w:tcBorders>
              <w:top w:val="single" w:color="000000" w:sz="4" w:space="0"/>
              <w:left w:val="single" w:color="000000" w:sz="4" w:space="0"/>
              <w:bottom w:val="single" w:color="000000" w:sz="4" w:space="0"/>
              <w:right w:val="single" w:color="000000" w:sz="4" w:space="0"/>
            </w:tcBorders>
            <w:vAlign w:val="center"/>
          </w:tcPr>
          <w:p w14:paraId="4E7A69EE">
            <w:pPr>
              <w:widowControl/>
              <w:spacing w:line="480" w:lineRule="exact"/>
              <w:jc w:val="center"/>
              <w:rPr>
                <w:rFonts w:ascii="Times New Roman" w:hAnsi="Times New Roman" w:cs="宋体"/>
                <w:b/>
                <w:bCs/>
                <w:kern w:val="0"/>
                <w:sz w:val="24"/>
                <w:lang w:bidi="ar"/>
              </w:rPr>
            </w:pPr>
            <w:r>
              <w:rPr>
                <w:rFonts w:hint="eastAsia" w:ascii="Times New Roman" w:hAnsi="Times New Roman" w:cs="宋体"/>
                <w:b/>
                <w:sz w:val="24"/>
              </w:rPr>
              <w:t>评分标准</w:t>
            </w:r>
          </w:p>
        </w:tc>
        <w:tc>
          <w:tcPr>
            <w:tcW w:w="1065" w:type="dxa"/>
            <w:tcBorders>
              <w:top w:val="single" w:color="000000" w:sz="4" w:space="0"/>
              <w:left w:val="single" w:color="000000" w:sz="4" w:space="0"/>
              <w:bottom w:val="single" w:color="000000" w:sz="4" w:space="0"/>
              <w:right w:val="single" w:color="000000" w:sz="4" w:space="0"/>
            </w:tcBorders>
            <w:vAlign w:val="center"/>
          </w:tcPr>
          <w:p w14:paraId="251A43A8">
            <w:pPr>
              <w:widowControl/>
              <w:spacing w:line="480" w:lineRule="exact"/>
              <w:jc w:val="center"/>
              <w:rPr>
                <w:rFonts w:ascii="Times New Roman" w:hAnsi="Times New Roman" w:cs="宋体"/>
                <w:b/>
                <w:bCs/>
                <w:kern w:val="0"/>
                <w:sz w:val="24"/>
                <w:lang w:bidi="ar"/>
              </w:rPr>
            </w:pPr>
            <w:r>
              <w:rPr>
                <w:rFonts w:hint="eastAsia" w:ascii="Times New Roman" w:hAnsi="Times New Roman" w:cs="宋体"/>
                <w:b/>
                <w:bCs/>
                <w:kern w:val="0"/>
                <w:sz w:val="24"/>
              </w:rPr>
              <w:t>分值</w:t>
            </w:r>
          </w:p>
        </w:tc>
      </w:tr>
      <w:tr w14:paraId="2C6936AA">
        <w:trPr>
          <w:trHeight w:val="285" w:hRule="atLeast"/>
        </w:trPr>
        <w:tc>
          <w:tcPr>
            <w:tcW w:w="842" w:type="dxa"/>
            <w:tcBorders>
              <w:top w:val="single" w:color="000000" w:sz="4" w:space="0"/>
              <w:left w:val="single" w:color="000000" w:sz="4" w:space="0"/>
              <w:bottom w:val="single" w:color="000000" w:sz="4" w:space="0"/>
              <w:right w:val="single" w:color="000000" w:sz="4" w:space="0"/>
            </w:tcBorders>
            <w:vAlign w:val="center"/>
          </w:tcPr>
          <w:p w14:paraId="6D5E0F03">
            <w:pPr>
              <w:widowControl/>
              <w:spacing w:line="400" w:lineRule="exact"/>
              <w:jc w:val="center"/>
              <w:textAlignment w:val="center"/>
              <w:rPr>
                <w:rFonts w:ascii="Times New Roman" w:hAnsi="Times New Roman" w:cs="宋体"/>
                <w:b/>
                <w:bCs/>
                <w:kern w:val="0"/>
                <w:szCs w:val="21"/>
                <w:lang w:bidi="ar"/>
              </w:rPr>
            </w:pPr>
            <w:r>
              <w:rPr>
                <w:rFonts w:ascii="Times New Roman" w:hAnsi="Times New Roman" w:cs="宋体"/>
                <w:b/>
                <w:bCs/>
                <w:kern w:val="0"/>
                <w:szCs w:val="21"/>
                <w:lang w:bidi="ar"/>
              </w:rPr>
              <w:t>1</w:t>
            </w:r>
          </w:p>
        </w:tc>
        <w:tc>
          <w:tcPr>
            <w:tcW w:w="1853" w:type="dxa"/>
            <w:tcBorders>
              <w:top w:val="single" w:color="000000" w:sz="4" w:space="0"/>
              <w:left w:val="single" w:color="000000" w:sz="4" w:space="0"/>
              <w:bottom w:val="single" w:color="000000" w:sz="4" w:space="0"/>
              <w:right w:val="single" w:color="000000" w:sz="4" w:space="0"/>
            </w:tcBorders>
            <w:vAlign w:val="center"/>
          </w:tcPr>
          <w:p w14:paraId="472AB820">
            <w:pPr>
              <w:adjustRightInd w:val="0"/>
              <w:spacing w:line="400" w:lineRule="exact"/>
              <w:jc w:val="center"/>
              <w:textAlignment w:val="baseline"/>
              <w:rPr>
                <w:rFonts w:ascii="Times New Roman" w:hAnsi="Times New Roman" w:cs="宋体"/>
                <w:b/>
                <w:szCs w:val="21"/>
              </w:rPr>
            </w:pPr>
            <w:r>
              <w:rPr>
                <w:rFonts w:hint="eastAsia" w:ascii="Times New Roman" w:hAnsi="Times New Roman" w:cs="宋体"/>
                <w:b/>
                <w:szCs w:val="21"/>
              </w:rPr>
              <w:t>价格部分</w:t>
            </w:r>
          </w:p>
          <w:p w14:paraId="5307063C">
            <w:pPr>
              <w:widowControl/>
              <w:spacing w:line="400" w:lineRule="exact"/>
              <w:jc w:val="center"/>
              <w:textAlignment w:val="center"/>
              <w:rPr>
                <w:rFonts w:ascii="Times New Roman" w:hAnsi="Times New Roman" w:cs="宋体"/>
                <w:b/>
                <w:bCs/>
                <w:kern w:val="0"/>
                <w:szCs w:val="21"/>
                <w:lang w:bidi="ar"/>
              </w:rPr>
            </w:pPr>
            <w:r>
              <w:rPr>
                <w:rFonts w:hint="eastAsia" w:ascii="Times New Roman" w:hAnsi="Times New Roman" w:cs="宋体"/>
                <w:b/>
                <w:szCs w:val="21"/>
              </w:rPr>
              <w:t>（</w:t>
            </w:r>
            <w:r>
              <w:rPr>
                <w:rFonts w:hint="eastAsia" w:ascii="Times New Roman" w:hAnsi="Times New Roman" w:cs="宋体"/>
                <w:b/>
                <w:bCs/>
                <w:szCs w:val="21"/>
              </w:rPr>
              <w:t>满分</w:t>
            </w:r>
            <w:r>
              <w:rPr>
                <w:rFonts w:hint="eastAsia" w:ascii="Times New Roman" w:hAnsi="Times New Roman" w:cs="宋体"/>
                <w:b/>
                <w:szCs w:val="21"/>
                <w:lang w:val="en-US" w:eastAsia="zh-CN"/>
              </w:rPr>
              <w:t>15</w:t>
            </w:r>
            <w:r>
              <w:rPr>
                <w:rFonts w:hint="eastAsia" w:ascii="Times New Roman" w:hAnsi="Times New Roman" w:cs="宋体"/>
                <w:b/>
                <w:szCs w:val="21"/>
              </w:rPr>
              <w:t>分）</w:t>
            </w:r>
          </w:p>
        </w:tc>
        <w:tc>
          <w:tcPr>
            <w:tcW w:w="4759" w:type="dxa"/>
            <w:tcBorders>
              <w:top w:val="single" w:color="000000" w:sz="4" w:space="0"/>
              <w:left w:val="single" w:color="000000" w:sz="4" w:space="0"/>
              <w:bottom w:val="single" w:color="000000" w:sz="4" w:space="0"/>
              <w:right w:val="single" w:color="000000" w:sz="4" w:space="0"/>
            </w:tcBorders>
          </w:tcPr>
          <w:p w14:paraId="104748E2">
            <w:pPr>
              <w:widowControl/>
              <w:spacing w:line="400" w:lineRule="exact"/>
              <w:jc w:val="left"/>
              <w:textAlignment w:val="center"/>
              <w:rPr>
                <w:rFonts w:ascii="Times New Roman" w:hAnsi="Times New Roman" w:cs="宋体"/>
                <w:szCs w:val="21"/>
              </w:rPr>
            </w:pPr>
            <w:r>
              <w:rPr>
                <w:rFonts w:hint="eastAsia" w:ascii="Times New Roman" w:hAnsi="Times New Roman" w:cs="宋体"/>
                <w:szCs w:val="21"/>
              </w:rPr>
              <w:t>（1）评标价为投标人的投标报价进行政策性扣除后的价格，评标价只是作为评标时使用。最终中标供应商的中标金额＝投标报价。</w:t>
            </w:r>
          </w:p>
          <w:p w14:paraId="6507F11D">
            <w:pPr>
              <w:widowControl/>
              <w:spacing w:line="400" w:lineRule="exact"/>
              <w:jc w:val="left"/>
              <w:textAlignment w:val="center"/>
              <w:rPr>
                <w:rFonts w:ascii="Times New Roman" w:hAnsi="Times New Roman" w:cs="宋体"/>
                <w:szCs w:val="21"/>
              </w:rPr>
            </w:pPr>
            <w:r>
              <w:rPr>
                <w:rFonts w:hint="eastAsia" w:ascii="Times New Roman" w:hAnsi="Times New Roman" w:cs="宋体"/>
                <w:szCs w:val="21"/>
              </w:rPr>
              <w:t>（2）按照《政府采购促进中小企业发展管理办法》（财库〔2020〕46号）及《广西壮族自治区财政厅关于贯彻落实政府采购支持中小企业发展政策的通知》（桂财采〔2022〕31号）的规定，投标人在其投标文件中提供《中小企业声明函》，且其所投标产品全部为小型或者微型企业产品的，对其最后报价给予10%的扣除。</w:t>
            </w:r>
          </w:p>
          <w:p w14:paraId="7797164A">
            <w:pPr>
              <w:widowControl/>
              <w:spacing w:line="400" w:lineRule="exact"/>
              <w:jc w:val="left"/>
              <w:textAlignment w:val="center"/>
              <w:rPr>
                <w:rFonts w:ascii="Times New Roman" w:hAnsi="Times New Roman" w:cs="宋体"/>
                <w:szCs w:val="21"/>
              </w:rPr>
            </w:pPr>
            <w:r>
              <w:rPr>
                <w:rFonts w:hint="eastAsia" w:ascii="Times New Roman" w:hAnsi="Times New Roman" w:cs="宋体"/>
                <w:szCs w:val="21"/>
              </w:rPr>
              <w:t>（3）按照《财政部、司法部关于政府采购支持监狱企业发展有关问题的通知》（财库〔2014〕68号）的规定，监狱企业视同小型、微型企业，享受预留份额、评审中价格扣除等促进中小企业发展的政府采购政策。监狱企业参加政府采购活动时，应当提供由省级以上监狱管理局、戒毒管理局(含新疆生产建设兵团)出具的属于监狱企业的证明文件。</w:t>
            </w:r>
          </w:p>
          <w:p w14:paraId="3C1E9BB6">
            <w:pPr>
              <w:widowControl/>
              <w:spacing w:line="400" w:lineRule="exact"/>
              <w:jc w:val="left"/>
              <w:textAlignment w:val="center"/>
              <w:rPr>
                <w:rFonts w:ascii="Times New Roman" w:hAnsi="Times New Roman" w:cs="宋体"/>
                <w:szCs w:val="21"/>
              </w:rPr>
            </w:pPr>
            <w:r>
              <w:rPr>
                <w:rFonts w:hint="eastAsia" w:ascii="Times New Roman" w:hAnsi="Times New Roman" w:cs="宋体"/>
                <w:szCs w:val="21"/>
              </w:rPr>
              <w:t>（4）按照《关于促进残疾人就业政府采购政策的通知》（财库〔2017〕141号）的规定，残疾人福利性单位视同小型、微型企业，享受预留份额、评审中价格扣除等促进中小企业发展的政府采购政策。残疾人福利性单位参加政府采购活动时，应当提供该通知规定的《残疾人福利性单位声明函》，并对声明的真实性负责。残疾人福利性单位属于小型、微型企业的，不重复享受政策。</w:t>
            </w:r>
          </w:p>
          <w:p w14:paraId="48EE213C">
            <w:pPr>
              <w:widowControl/>
              <w:spacing w:line="400" w:lineRule="exact"/>
              <w:jc w:val="left"/>
              <w:textAlignment w:val="center"/>
              <w:rPr>
                <w:rFonts w:ascii="Times New Roman" w:hAnsi="Times New Roman" w:cs="宋体"/>
                <w:szCs w:val="21"/>
              </w:rPr>
            </w:pPr>
            <w:r>
              <w:rPr>
                <w:rFonts w:hint="eastAsia" w:ascii="Times New Roman" w:hAnsi="Times New Roman" w:cs="宋体"/>
                <w:szCs w:val="21"/>
              </w:rPr>
              <w:t>（5）政策性扣除计算方法。</w:t>
            </w:r>
          </w:p>
          <w:p w14:paraId="47385CB8">
            <w:pPr>
              <w:widowControl/>
              <w:spacing w:line="400" w:lineRule="exact"/>
              <w:jc w:val="left"/>
              <w:textAlignment w:val="center"/>
              <w:rPr>
                <w:rFonts w:ascii="Times New Roman" w:hAnsi="Times New Roman" w:cs="宋体"/>
                <w:szCs w:val="21"/>
              </w:rPr>
            </w:pPr>
            <w:r>
              <w:rPr>
                <w:rFonts w:hint="eastAsia" w:ascii="Times New Roman" w:hAnsi="Times New Roman" w:cs="宋体"/>
                <w:szCs w:val="21"/>
              </w:rPr>
              <w:t>在货物采购项目中，供应商所投标全部货物由小型或者微型企业制造；在工程采购项目中，工程由小微企业承建；在服务采购项目中，服务由小微企业承接。对符合上述要求的投标人的投标报价给予10%的扣除，扣除后的价格为评标报价，即评标报价=投标报价×（1-10%）。除上述情况外，评标报价=投标报价。</w:t>
            </w:r>
          </w:p>
          <w:p w14:paraId="7F8D8FDC">
            <w:pPr>
              <w:widowControl/>
              <w:spacing w:line="400" w:lineRule="exact"/>
              <w:jc w:val="left"/>
              <w:textAlignment w:val="center"/>
              <w:rPr>
                <w:rFonts w:ascii="Times New Roman" w:hAnsi="Times New Roman" w:cs="宋体"/>
                <w:szCs w:val="21"/>
              </w:rPr>
            </w:pPr>
            <w:r>
              <w:rPr>
                <w:rFonts w:hint="eastAsia" w:ascii="Times New Roman" w:hAnsi="Times New Roman" w:cs="宋体"/>
                <w:szCs w:val="21"/>
              </w:rPr>
              <w:t>（6）以进入综合评分环节的最低的评标报价为基准价，基准价报价得分为</w:t>
            </w:r>
            <w:r>
              <w:rPr>
                <w:rFonts w:hint="eastAsia" w:ascii="Times New Roman" w:hAnsi="Times New Roman" w:cs="宋体"/>
                <w:szCs w:val="21"/>
                <w:lang w:val="en-US" w:eastAsia="zh-CN"/>
              </w:rPr>
              <w:t>15</w:t>
            </w:r>
            <w:r>
              <w:rPr>
                <w:rFonts w:hint="eastAsia" w:ascii="Times New Roman" w:hAnsi="Times New Roman" w:cs="宋体"/>
                <w:szCs w:val="21"/>
              </w:rPr>
              <w:t>分。</w:t>
            </w:r>
          </w:p>
          <w:p w14:paraId="2AD125C5">
            <w:pPr>
              <w:widowControl/>
              <w:spacing w:line="400" w:lineRule="exact"/>
              <w:jc w:val="left"/>
              <w:textAlignment w:val="center"/>
              <w:rPr>
                <w:rFonts w:ascii="Times New Roman" w:hAnsi="Times New Roman" w:cs="宋体"/>
                <w:szCs w:val="21"/>
              </w:rPr>
            </w:pPr>
            <w:r>
              <w:rPr>
                <w:rFonts w:hint="eastAsia" w:ascii="Times New Roman" w:hAnsi="Times New Roman" w:cs="宋体"/>
                <w:szCs w:val="21"/>
              </w:rPr>
              <w:t>（7）价格分计算公式：某投标人价格分=基准价/某投标人评标报价金额×</w:t>
            </w:r>
            <w:r>
              <w:rPr>
                <w:rFonts w:hint="eastAsia" w:ascii="Times New Roman" w:hAnsi="Times New Roman" w:cs="宋体"/>
                <w:szCs w:val="21"/>
                <w:lang w:val="en-US" w:eastAsia="zh-CN"/>
              </w:rPr>
              <w:t>15</w:t>
            </w:r>
            <w:r>
              <w:rPr>
                <w:rFonts w:hint="eastAsia" w:ascii="Times New Roman" w:hAnsi="Times New Roman" w:cs="宋体"/>
                <w:szCs w:val="21"/>
              </w:rPr>
              <w:t>分</w:t>
            </w:r>
          </w:p>
        </w:tc>
        <w:tc>
          <w:tcPr>
            <w:tcW w:w="1065" w:type="dxa"/>
            <w:tcBorders>
              <w:top w:val="single" w:color="000000" w:sz="4" w:space="0"/>
              <w:left w:val="single" w:color="000000" w:sz="4" w:space="0"/>
              <w:bottom w:val="single" w:color="000000" w:sz="4" w:space="0"/>
              <w:right w:val="single" w:color="000000" w:sz="4" w:space="0"/>
            </w:tcBorders>
            <w:vAlign w:val="center"/>
          </w:tcPr>
          <w:p w14:paraId="0F3962E9">
            <w:pPr>
              <w:widowControl/>
              <w:spacing w:line="400" w:lineRule="exact"/>
              <w:jc w:val="center"/>
              <w:textAlignment w:val="top"/>
              <w:rPr>
                <w:rFonts w:ascii="Times New Roman" w:hAnsi="Times New Roman" w:cs="宋体"/>
                <w:b/>
                <w:bCs/>
                <w:kern w:val="0"/>
                <w:szCs w:val="21"/>
                <w:lang w:bidi="ar"/>
              </w:rPr>
            </w:pPr>
            <w:r>
              <w:rPr>
                <w:rFonts w:hint="eastAsia" w:ascii="Times New Roman" w:hAnsi="Times New Roman" w:cs="宋体"/>
                <w:b/>
                <w:bCs/>
                <w:kern w:val="0"/>
                <w:szCs w:val="21"/>
                <w:lang w:val="en-US" w:eastAsia="zh-CN" w:bidi="ar"/>
              </w:rPr>
              <w:t>15</w:t>
            </w:r>
            <w:r>
              <w:rPr>
                <w:rFonts w:hint="eastAsia" w:ascii="Times New Roman" w:hAnsi="Times New Roman" w:cs="宋体"/>
                <w:b/>
                <w:szCs w:val="21"/>
              </w:rPr>
              <w:t>分</w:t>
            </w:r>
          </w:p>
        </w:tc>
      </w:tr>
      <w:tr w14:paraId="01AF925F">
        <w:trPr>
          <w:trHeight w:val="395" w:hRule="atLeast"/>
        </w:trPr>
        <w:tc>
          <w:tcPr>
            <w:tcW w:w="842" w:type="dxa"/>
            <w:tcBorders>
              <w:top w:val="single" w:color="000000" w:sz="4" w:space="0"/>
              <w:left w:val="single" w:color="000000" w:sz="4" w:space="0"/>
              <w:bottom w:val="single" w:color="auto" w:sz="4" w:space="0"/>
              <w:right w:val="single" w:color="000000" w:sz="4" w:space="0"/>
            </w:tcBorders>
            <w:vAlign w:val="center"/>
          </w:tcPr>
          <w:p w14:paraId="3FDACD81">
            <w:pPr>
              <w:widowControl/>
              <w:spacing w:line="400" w:lineRule="exact"/>
              <w:jc w:val="center"/>
              <w:textAlignment w:val="center"/>
              <w:rPr>
                <w:rFonts w:ascii="Times New Roman" w:hAnsi="Times New Roman" w:cs="宋体"/>
                <w:b/>
                <w:bCs/>
                <w:kern w:val="0"/>
                <w:szCs w:val="21"/>
                <w:lang w:bidi="ar"/>
              </w:rPr>
            </w:pPr>
            <w:r>
              <w:rPr>
                <w:rFonts w:ascii="Times New Roman" w:hAnsi="Times New Roman" w:cs="宋体"/>
                <w:b/>
                <w:bCs/>
                <w:kern w:val="0"/>
                <w:szCs w:val="21"/>
                <w:lang w:bidi="ar"/>
              </w:rPr>
              <w:t>2</w:t>
            </w:r>
          </w:p>
        </w:tc>
        <w:tc>
          <w:tcPr>
            <w:tcW w:w="1853" w:type="dxa"/>
            <w:tcBorders>
              <w:top w:val="single" w:color="000000" w:sz="4" w:space="0"/>
              <w:left w:val="single" w:color="000000" w:sz="4" w:space="0"/>
              <w:bottom w:val="single" w:color="000000" w:sz="4" w:space="0"/>
              <w:right w:val="single" w:color="000000" w:sz="4" w:space="0"/>
            </w:tcBorders>
            <w:vAlign w:val="center"/>
          </w:tcPr>
          <w:p w14:paraId="3BE63099">
            <w:pPr>
              <w:widowControl/>
              <w:spacing w:line="400" w:lineRule="exact"/>
              <w:jc w:val="center"/>
              <w:textAlignment w:val="center"/>
              <w:rPr>
                <w:rFonts w:ascii="Times New Roman" w:hAnsi="Times New Roman" w:cs="宋体"/>
                <w:b/>
                <w:bCs/>
                <w:kern w:val="0"/>
                <w:szCs w:val="21"/>
                <w:lang w:bidi="ar"/>
              </w:rPr>
            </w:pPr>
            <w:r>
              <w:rPr>
                <w:rFonts w:hint="eastAsia" w:ascii="Times New Roman" w:hAnsi="Times New Roman" w:cs="宋体"/>
                <w:b/>
                <w:bCs/>
                <w:kern w:val="0"/>
                <w:szCs w:val="21"/>
                <w:lang w:bidi="ar"/>
              </w:rPr>
              <w:t>技术部分</w:t>
            </w:r>
          </w:p>
          <w:p w14:paraId="0E33C126">
            <w:pPr>
              <w:widowControl/>
              <w:spacing w:line="400" w:lineRule="exact"/>
              <w:jc w:val="center"/>
              <w:textAlignment w:val="center"/>
              <w:rPr>
                <w:rFonts w:ascii="Times New Roman" w:hAnsi="Times New Roman" w:cs="宋体"/>
                <w:b/>
                <w:bCs/>
                <w:szCs w:val="21"/>
              </w:rPr>
            </w:pPr>
            <w:r>
              <w:rPr>
                <w:rFonts w:hint="eastAsia" w:ascii="Times New Roman" w:hAnsi="Times New Roman" w:cs="宋体"/>
                <w:b/>
                <w:bCs/>
                <w:kern w:val="0"/>
                <w:szCs w:val="21"/>
                <w:lang w:bidi="ar"/>
              </w:rPr>
              <w:t xml:space="preserve">（满分 </w:t>
            </w:r>
            <w:r>
              <w:rPr>
                <w:rFonts w:hint="eastAsia" w:ascii="Times New Roman" w:hAnsi="Times New Roman" w:cs="宋体"/>
                <w:b/>
                <w:bCs/>
                <w:kern w:val="0"/>
                <w:szCs w:val="21"/>
                <w:lang w:val="en-US" w:eastAsia="zh-CN" w:bidi="ar"/>
              </w:rPr>
              <w:t>60</w:t>
            </w:r>
            <w:r>
              <w:rPr>
                <w:rFonts w:hint="eastAsia" w:ascii="Times New Roman" w:hAnsi="Times New Roman" w:cs="宋体"/>
                <w:b/>
                <w:bCs/>
                <w:kern w:val="0"/>
                <w:szCs w:val="21"/>
                <w:lang w:bidi="ar"/>
              </w:rPr>
              <w:t xml:space="preserve"> 分）</w:t>
            </w:r>
          </w:p>
        </w:tc>
        <w:tc>
          <w:tcPr>
            <w:tcW w:w="5824" w:type="dxa"/>
            <w:gridSpan w:val="2"/>
            <w:tcBorders>
              <w:top w:val="single" w:color="000000" w:sz="4" w:space="0"/>
              <w:left w:val="single" w:color="000000" w:sz="4" w:space="0"/>
              <w:bottom w:val="single" w:color="000000" w:sz="4" w:space="0"/>
              <w:right w:val="single" w:color="000000" w:sz="4" w:space="0"/>
            </w:tcBorders>
            <w:vAlign w:val="center"/>
          </w:tcPr>
          <w:p w14:paraId="126AE39A">
            <w:pPr>
              <w:widowControl/>
              <w:spacing w:line="400" w:lineRule="exact"/>
              <w:jc w:val="center"/>
              <w:textAlignment w:val="top"/>
              <w:rPr>
                <w:rFonts w:ascii="Times New Roman" w:hAnsi="Times New Roman" w:cs="宋体"/>
                <w:b/>
                <w:bCs/>
                <w:szCs w:val="21"/>
              </w:rPr>
            </w:pPr>
            <w:r>
              <w:rPr>
                <w:rFonts w:hint="eastAsia" w:ascii="Times New Roman" w:hAnsi="Times New Roman" w:cs="宋体"/>
                <w:b/>
                <w:szCs w:val="21"/>
              </w:rPr>
              <w:t>评分标准</w:t>
            </w:r>
          </w:p>
        </w:tc>
      </w:tr>
      <w:tr w14:paraId="514EFB80">
        <w:trPr>
          <w:trHeight w:val="285" w:hRule="atLeast"/>
        </w:trPr>
        <w:tc>
          <w:tcPr>
            <w:tcW w:w="842" w:type="dxa"/>
            <w:tcBorders>
              <w:top w:val="single" w:color="auto" w:sz="4" w:space="0"/>
              <w:left w:val="single" w:color="auto" w:sz="4" w:space="0"/>
              <w:bottom w:val="single" w:color="auto" w:sz="4" w:space="0"/>
              <w:right w:val="single" w:color="auto" w:sz="4" w:space="0"/>
            </w:tcBorders>
            <w:vAlign w:val="center"/>
          </w:tcPr>
          <w:p w14:paraId="53229A94">
            <w:pPr>
              <w:widowControl/>
              <w:spacing w:line="400" w:lineRule="exact"/>
              <w:jc w:val="center"/>
              <w:textAlignment w:val="center"/>
              <w:rPr>
                <w:rFonts w:ascii="Times New Roman" w:hAnsi="Times New Roman" w:cs="宋体"/>
                <w:b/>
                <w:bCs/>
                <w:kern w:val="0"/>
                <w:szCs w:val="21"/>
                <w:lang w:bidi="ar"/>
              </w:rPr>
            </w:pPr>
            <w:r>
              <w:rPr>
                <w:rFonts w:ascii="Times New Roman" w:hAnsi="Times New Roman" w:cs="宋体"/>
                <w:b/>
                <w:bCs/>
                <w:kern w:val="0"/>
                <w:szCs w:val="21"/>
                <w:lang w:bidi="ar"/>
              </w:rPr>
              <w:t>2.1</w:t>
            </w:r>
          </w:p>
        </w:tc>
        <w:tc>
          <w:tcPr>
            <w:tcW w:w="1853" w:type="dxa"/>
            <w:tcBorders>
              <w:top w:val="single" w:color="auto" w:sz="4" w:space="0"/>
              <w:left w:val="single" w:color="auto" w:sz="4" w:space="0"/>
              <w:bottom w:val="single" w:color="auto" w:sz="4" w:space="0"/>
              <w:right w:val="single" w:color="auto" w:sz="4" w:space="0"/>
            </w:tcBorders>
            <w:vAlign w:val="center"/>
          </w:tcPr>
          <w:p w14:paraId="4BF839B5">
            <w:pPr>
              <w:widowControl/>
              <w:spacing w:line="400" w:lineRule="exact"/>
              <w:jc w:val="center"/>
              <w:textAlignment w:val="center"/>
              <w:rPr>
                <w:rFonts w:ascii="Times New Roman" w:hAnsi="Times New Roman"/>
                <w:b/>
                <w:szCs w:val="21"/>
              </w:rPr>
            </w:pPr>
            <w:r>
              <w:rPr>
                <w:rFonts w:hint="eastAsia" w:ascii="Times New Roman" w:hAnsi="Times New Roman"/>
                <w:b/>
                <w:szCs w:val="21"/>
              </w:rPr>
              <w:t>对项目需求的理解</w:t>
            </w:r>
          </w:p>
          <w:p w14:paraId="6510996A">
            <w:pPr>
              <w:widowControl/>
              <w:spacing w:line="400" w:lineRule="exact"/>
              <w:jc w:val="center"/>
              <w:textAlignment w:val="center"/>
              <w:rPr>
                <w:rFonts w:ascii="Times New Roman" w:hAnsi="Times New Roman" w:cs="宋体"/>
                <w:b/>
                <w:bCs/>
                <w:szCs w:val="21"/>
              </w:rPr>
            </w:pPr>
            <w:r>
              <w:rPr>
                <w:rFonts w:hint="eastAsia" w:ascii="Times New Roman" w:hAnsi="Times New Roman" w:cs="宋体"/>
                <w:b/>
                <w:bCs/>
                <w:kern w:val="0"/>
                <w:szCs w:val="21"/>
                <w:lang w:bidi="ar"/>
              </w:rPr>
              <w:t>（满分10分）</w:t>
            </w:r>
          </w:p>
        </w:tc>
        <w:tc>
          <w:tcPr>
            <w:tcW w:w="4759" w:type="dxa"/>
            <w:tcBorders>
              <w:top w:val="single" w:color="auto" w:sz="4" w:space="0"/>
              <w:left w:val="single" w:color="auto" w:sz="4" w:space="0"/>
              <w:bottom w:val="single" w:color="auto" w:sz="4" w:space="0"/>
              <w:right w:val="single" w:color="auto" w:sz="4" w:space="0"/>
            </w:tcBorders>
            <w:vAlign w:val="center"/>
          </w:tcPr>
          <w:p w14:paraId="0C90A1FE">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投标人需结合广西人工智能产业发展战略、东盟市场需求及本赛事 33 个子赛道运营特点，阐述对项目需求的理解，按以下标准评分：</w:t>
            </w:r>
          </w:p>
          <w:p w14:paraId="74A6F7D5">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1. 同时满足以下全部条件，得 10 分：</w:t>
            </w:r>
          </w:p>
          <w:p w14:paraId="0134CB82">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（1）完整覆盖赛事统筹、组织、成果转化、会务服务等全部核心需求；</w:t>
            </w:r>
          </w:p>
          <w:p w14:paraId="476F1AA1">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（2）精准贴合广西 AI 与产业融合发展痛点，并提出针对性理解；</w:t>
            </w:r>
          </w:p>
          <w:p w14:paraId="00E5361C">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（3）内容完整、逻辑清晰，无遗漏或偏差。</w:t>
            </w:r>
          </w:p>
          <w:p w14:paraId="2C3B3F7D">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2. 同时满足以下全部条件，得 7 分：</w:t>
            </w:r>
          </w:p>
          <w:p w14:paraId="63875607">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（1）覆盖赛事统筹、组织、成果转化、会务服务等核心需求，无关键遗漏；</w:t>
            </w:r>
          </w:p>
          <w:p w14:paraId="38B2B118">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（2）对广西 AI 产业发展问题及东盟市场需求有基本认知；</w:t>
            </w:r>
          </w:p>
          <w:p w14:paraId="2B3C9F0E">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（3）内容基本完整，无重大偏差。</w:t>
            </w:r>
          </w:p>
          <w:p w14:paraId="47EAEFC3">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3. 同时满足以下全部条件，得 4 分：</w:t>
            </w:r>
          </w:p>
          <w:p w14:paraId="2668410C">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（1）仅覆盖部分赛事核心需求，存在关键需求遗漏；</w:t>
            </w:r>
          </w:p>
          <w:p w14:paraId="30A32BAD">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（2）未结合广西产业背景或东盟市场需求进行阐述；</w:t>
            </w:r>
          </w:p>
          <w:p w14:paraId="103FBCD5">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（3）内容存在明显偏差或缺失。</w:t>
            </w:r>
          </w:p>
          <w:p w14:paraId="15D52371">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eastAsia="宋体" w:cs="宋体"/>
                <w:kern w:val="2"/>
                <w:szCs w:val="21"/>
                <w:lang w:bidi="ar"/>
              </w:rPr>
              <w:t>4. 未提供相关阐述或阐述完全不符合项目背景的，得 0 分。</w:t>
            </w:r>
          </w:p>
        </w:tc>
        <w:tc>
          <w:tcPr>
            <w:tcW w:w="1065" w:type="dxa"/>
            <w:tcBorders>
              <w:top w:val="single" w:color="000000" w:sz="4" w:space="0"/>
              <w:left w:val="single" w:color="auto" w:sz="4" w:space="0"/>
              <w:right w:val="single" w:color="000000" w:sz="4" w:space="0"/>
            </w:tcBorders>
            <w:noWrap/>
            <w:vAlign w:val="center"/>
          </w:tcPr>
          <w:p w14:paraId="37D7F760">
            <w:pPr>
              <w:widowControl/>
              <w:spacing w:line="400" w:lineRule="exact"/>
              <w:jc w:val="center"/>
              <w:textAlignment w:val="center"/>
              <w:rPr>
                <w:rFonts w:ascii="Times New Roman" w:hAnsi="Times New Roman" w:cs="宋体"/>
                <w:szCs w:val="21"/>
              </w:rPr>
            </w:pPr>
            <w:r>
              <w:rPr>
                <w:rFonts w:hint="eastAsia" w:ascii="Times New Roman" w:hAnsi="Times New Roman" w:cs="宋体"/>
                <w:b/>
                <w:bCs/>
                <w:kern w:val="0"/>
                <w:szCs w:val="21"/>
                <w:lang w:bidi="ar"/>
              </w:rPr>
              <w:t>10分</w:t>
            </w:r>
          </w:p>
        </w:tc>
      </w:tr>
      <w:tr w14:paraId="4EE2B405">
        <w:trPr>
          <w:trHeight w:val="1080" w:hRule="atLeast"/>
        </w:trPr>
        <w:tc>
          <w:tcPr>
            <w:tcW w:w="842" w:type="dxa"/>
            <w:tcBorders>
              <w:top w:val="single" w:color="auto" w:sz="4" w:space="0"/>
              <w:left w:val="single" w:color="auto" w:sz="4" w:space="0"/>
              <w:right w:val="single" w:color="auto" w:sz="4" w:space="0"/>
            </w:tcBorders>
            <w:vAlign w:val="center"/>
          </w:tcPr>
          <w:p w14:paraId="723BB1CA">
            <w:pPr>
              <w:spacing w:line="400" w:lineRule="exact"/>
              <w:jc w:val="center"/>
              <w:rPr>
                <w:rFonts w:ascii="Times New Roman" w:hAnsi="Times New Roman" w:cs="宋体"/>
                <w:b/>
                <w:bCs/>
                <w:szCs w:val="21"/>
              </w:rPr>
            </w:pPr>
            <w:r>
              <w:rPr>
                <w:rFonts w:ascii="Times New Roman" w:hAnsi="Times New Roman" w:cs="宋体"/>
                <w:b/>
                <w:bCs/>
                <w:szCs w:val="21"/>
              </w:rPr>
              <w:t>2.2</w:t>
            </w:r>
          </w:p>
        </w:tc>
        <w:tc>
          <w:tcPr>
            <w:tcW w:w="1853" w:type="dxa"/>
            <w:tcBorders>
              <w:top w:val="single" w:color="auto" w:sz="4" w:space="0"/>
              <w:left w:val="single" w:color="auto" w:sz="4" w:space="0"/>
              <w:right w:val="single" w:color="auto" w:sz="4" w:space="0"/>
            </w:tcBorders>
            <w:vAlign w:val="center"/>
          </w:tcPr>
          <w:p w14:paraId="7913F1CC">
            <w:pPr>
              <w:widowControl/>
              <w:spacing w:line="400" w:lineRule="exact"/>
              <w:jc w:val="center"/>
              <w:textAlignment w:val="center"/>
              <w:rPr>
                <w:rFonts w:ascii="Times New Roman" w:hAnsi="Times New Roman" w:cs="宋体"/>
                <w:b/>
                <w:bCs/>
                <w:szCs w:val="21"/>
              </w:rPr>
            </w:pPr>
            <w:r>
              <w:rPr>
                <w:rFonts w:hint="eastAsia" w:ascii="Times New Roman" w:hAnsi="Times New Roman" w:cs="宋体"/>
                <w:b/>
                <w:bCs/>
                <w:szCs w:val="21"/>
              </w:rPr>
              <w:t>赛事运营服务</w:t>
            </w:r>
          </w:p>
          <w:p w14:paraId="2AB4E85D">
            <w:pPr>
              <w:widowControl/>
              <w:spacing w:line="400" w:lineRule="exact"/>
              <w:jc w:val="center"/>
              <w:textAlignment w:val="center"/>
              <w:rPr>
                <w:rFonts w:ascii="Times New Roman" w:hAnsi="Times New Roman" w:cs="宋体"/>
                <w:b/>
                <w:bCs/>
                <w:szCs w:val="21"/>
              </w:rPr>
            </w:pPr>
            <w:r>
              <w:rPr>
                <w:rFonts w:hint="eastAsia" w:ascii="Times New Roman" w:hAnsi="Times New Roman" w:cs="宋体"/>
                <w:b/>
                <w:bCs/>
                <w:szCs w:val="21"/>
              </w:rPr>
              <w:t>方案完整性</w:t>
            </w:r>
          </w:p>
          <w:p w14:paraId="48D37E6D">
            <w:pPr>
              <w:widowControl/>
              <w:spacing w:line="400" w:lineRule="exact"/>
              <w:jc w:val="center"/>
              <w:textAlignment w:val="center"/>
              <w:rPr>
                <w:rFonts w:ascii="Times New Roman" w:hAnsi="Times New Roman" w:cs="宋体"/>
                <w:b/>
                <w:bCs/>
                <w:szCs w:val="21"/>
              </w:rPr>
            </w:pPr>
            <w:r>
              <w:rPr>
                <w:rFonts w:hint="eastAsia" w:ascii="Times New Roman" w:hAnsi="Times New Roman" w:cs="宋体"/>
                <w:b/>
                <w:bCs/>
                <w:szCs w:val="21"/>
              </w:rPr>
              <w:t>（满分 1</w:t>
            </w:r>
            <w:r>
              <w:rPr>
                <w:rFonts w:hint="eastAsia" w:ascii="Times New Roman" w:hAnsi="Times New Roman" w:cs="宋体"/>
                <w:b/>
                <w:bCs/>
                <w:szCs w:val="21"/>
                <w:lang w:val="en-US" w:eastAsia="zh-CN"/>
              </w:rPr>
              <w:t>5</w:t>
            </w:r>
            <w:r>
              <w:rPr>
                <w:rFonts w:hint="eastAsia" w:ascii="Times New Roman" w:hAnsi="Times New Roman" w:cs="宋体"/>
                <w:b/>
                <w:bCs/>
                <w:szCs w:val="21"/>
              </w:rPr>
              <w:t xml:space="preserve"> 分）</w:t>
            </w:r>
          </w:p>
        </w:tc>
        <w:tc>
          <w:tcPr>
            <w:tcW w:w="4759" w:type="dxa"/>
            <w:tcBorders>
              <w:top w:val="single" w:color="auto" w:sz="4" w:space="0"/>
              <w:left w:val="single" w:color="auto" w:sz="4" w:space="0"/>
              <w:right w:val="single" w:color="auto" w:sz="4" w:space="0"/>
            </w:tcBorders>
            <w:vAlign w:val="center"/>
          </w:tcPr>
          <w:p w14:paraId="30B496A5">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投标人针对采购需求中赛事统筹、赛事组织、其他会务事项三大服务内容制定全流程运营服务方案，按以下标准评分：</w:t>
            </w:r>
          </w:p>
          <w:p w14:paraId="665D943B">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1. 同时满足以下全部条件，得 1</w:t>
            </w:r>
            <w:r>
              <w:rPr>
                <w:rFonts w:hint="eastAsia" w:ascii="Times New Roman" w:hAnsi="Times New Roman" w:cs="宋体"/>
                <w:szCs w:val="21"/>
                <w:lang w:eastAsia="zh-CN" w:bidi="ar"/>
              </w:rPr>
              <w:t>5</w:t>
            </w:r>
            <w:r>
              <w:rPr>
                <w:rFonts w:hint="eastAsia" w:ascii="Times New Roman" w:hAnsi="Times New Roman" w:cs="宋体"/>
                <w:szCs w:val="21"/>
                <w:lang w:bidi="ar"/>
              </w:rPr>
              <w:t xml:space="preserve"> 分：</w:t>
            </w:r>
          </w:p>
          <w:p w14:paraId="4619D81C">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（1）方案完整覆盖赛事统筹、赛事组织、其他会务事项三大服务内容；</w:t>
            </w:r>
          </w:p>
          <w:p w14:paraId="416BE9C6">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（2）针对 33 个子赛道统筹协调、成果转化库建立、资本 / 场景对接、会务服务等核心工作，均提供了具体、可落地的细化执行方案；</w:t>
            </w:r>
          </w:p>
          <w:p w14:paraId="6A754DBD">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（3）无重大缺漏，逻辑清晰，可直接指导赛事运营。</w:t>
            </w:r>
          </w:p>
          <w:p w14:paraId="3C3F3868">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 xml:space="preserve">2. 同时满足以下全部条件，得 </w:t>
            </w:r>
            <w:r>
              <w:rPr>
                <w:rFonts w:hint="eastAsia" w:ascii="Times New Roman" w:hAnsi="Times New Roman" w:cs="宋体"/>
                <w:szCs w:val="21"/>
                <w:lang w:val="en-US" w:eastAsia="zh-CN" w:bidi="ar"/>
              </w:rPr>
              <w:t>10</w:t>
            </w:r>
            <w:r>
              <w:rPr>
                <w:rFonts w:hint="eastAsia" w:ascii="Times New Roman" w:hAnsi="Times New Roman" w:cs="宋体"/>
                <w:szCs w:val="21"/>
                <w:lang w:bidi="ar"/>
              </w:rPr>
              <w:t xml:space="preserve"> 分：</w:t>
            </w:r>
          </w:p>
          <w:p w14:paraId="1716C4EF">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（1）方案覆盖三大服务内容，无关键内容遗漏；</w:t>
            </w:r>
          </w:p>
          <w:p w14:paraId="183C62CC">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（2）针对子赛道运营、成果转化等核心环节，提供了明确的执行措施，方案较细化；</w:t>
            </w:r>
          </w:p>
          <w:p w14:paraId="24A2A973">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（3）无重大偏差，可支撑赛事基本运营。</w:t>
            </w:r>
          </w:p>
          <w:p w14:paraId="12A4274D">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 xml:space="preserve">3. 满足以下任一情况，得 </w:t>
            </w:r>
            <w:r>
              <w:rPr>
                <w:rFonts w:hint="eastAsia" w:ascii="Times New Roman" w:hAnsi="Times New Roman" w:cs="宋体"/>
                <w:szCs w:val="21"/>
                <w:lang w:val="en-US" w:eastAsia="zh-CN" w:bidi="ar"/>
              </w:rPr>
              <w:t>5</w:t>
            </w:r>
            <w:r>
              <w:rPr>
                <w:rFonts w:hint="eastAsia" w:ascii="Times New Roman" w:hAnsi="Times New Roman" w:cs="宋体"/>
                <w:szCs w:val="21"/>
                <w:lang w:bidi="ar"/>
              </w:rPr>
              <w:t xml:space="preserve"> 分：</w:t>
            </w:r>
          </w:p>
          <w:p w14:paraId="3961A656">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（1）方案未完全覆盖三大服务内容，存在关键服务模块缺失；</w:t>
            </w:r>
          </w:p>
          <w:p w14:paraId="25F70DEE">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（2）核心工作措施表述笼统，缺乏可落地性；</w:t>
            </w:r>
          </w:p>
          <w:p w14:paraId="4239A8FB">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（3）部分关键环节无对应方案支撑。</w:t>
            </w:r>
          </w:p>
          <w:p w14:paraId="628D6E8E">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cs="宋体"/>
                <w:szCs w:val="21"/>
                <w:lang w:bidi="ar"/>
              </w:rPr>
              <w:t>4. 未提供赛事运营服务方案的，得 0 分。</w:t>
            </w:r>
          </w:p>
        </w:tc>
        <w:tc>
          <w:tcPr>
            <w:tcW w:w="1065" w:type="dxa"/>
            <w:tcBorders>
              <w:top w:val="single" w:color="auto" w:sz="4" w:space="0"/>
              <w:left w:val="single" w:color="auto" w:sz="4" w:space="0"/>
              <w:bottom w:val="single" w:color="auto" w:sz="4" w:space="0"/>
              <w:right w:val="single" w:color="auto" w:sz="4" w:space="0"/>
            </w:tcBorders>
            <w:noWrap/>
            <w:vAlign w:val="center"/>
          </w:tcPr>
          <w:p w14:paraId="1C5C336D">
            <w:pPr>
              <w:spacing w:line="400" w:lineRule="exact"/>
              <w:jc w:val="center"/>
              <w:rPr>
                <w:rFonts w:ascii="Times New Roman" w:hAnsi="Times New Roman" w:cs="宋体"/>
                <w:szCs w:val="21"/>
              </w:rPr>
            </w:pPr>
            <w:r>
              <w:rPr>
                <w:rFonts w:ascii="Times New Roman" w:hAnsi="Times New Roman" w:cs="宋体"/>
                <w:b/>
                <w:bCs/>
                <w:kern w:val="0"/>
                <w:szCs w:val="21"/>
                <w:lang w:bidi="ar"/>
              </w:rPr>
              <w:t>1</w:t>
            </w:r>
            <w:r>
              <w:rPr>
                <w:rFonts w:hint="eastAsia" w:ascii="Times New Roman" w:hAnsi="Times New Roman" w:cs="宋体"/>
                <w:b/>
                <w:bCs/>
                <w:kern w:val="0"/>
                <w:szCs w:val="21"/>
                <w:lang w:val="en-US" w:eastAsia="zh-CN" w:bidi="ar"/>
              </w:rPr>
              <w:t>5</w:t>
            </w:r>
            <w:r>
              <w:rPr>
                <w:rFonts w:hint="eastAsia" w:ascii="Times New Roman" w:hAnsi="Times New Roman" w:cs="宋体"/>
                <w:b/>
                <w:bCs/>
                <w:kern w:val="0"/>
                <w:szCs w:val="21"/>
                <w:lang w:bidi="ar"/>
              </w:rPr>
              <w:t>分</w:t>
            </w:r>
          </w:p>
        </w:tc>
      </w:tr>
      <w:tr w14:paraId="7480FFC5">
        <w:trPr>
          <w:trHeight w:val="570" w:hRule="atLeast"/>
        </w:trPr>
        <w:tc>
          <w:tcPr>
            <w:tcW w:w="842" w:type="dxa"/>
            <w:tcBorders>
              <w:top w:val="single" w:color="auto" w:sz="4" w:space="0"/>
              <w:left w:val="single" w:color="auto" w:sz="4" w:space="0"/>
              <w:bottom w:val="single" w:color="auto" w:sz="4" w:space="0"/>
              <w:right w:val="single" w:color="auto" w:sz="4" w:space="0"/>
            </w:tcBorders>
            <w:vAlign w:val="center"/>
          </w:tcPr>
          <w:p w14:paraId="3C1D21FF">
            <w:pPr>
              <w:spacing w:line="400" w:lineRule="exact"/>
              <w:jc w:val="center"/>
              <w:rPr>
                <w:rFonts w:ascii="Times New Roman" w:hAnsi="Times New Roman" w:cs="宋体"/>
                <w:b/>
                <w:bCs/>
                <w:szCs w:val="21"/>
              </w:rPr>
            </w:pPr>
            <w:r>
              <w:rPr>
                <w:rFonts w:ascii="Times New Roman" w:hAnsi="Times New Roman" w:cs="宋体"/>
                <w:b/>
                <w:bCs/>
                <w:szCs w:val="21"/>
              </w:rPr>
              <w:t>2.3</w:t>
            </w:r>
          </w:p>
        </w:tc>
        <w:tc>
          <w:tcPr>
            <w:tcW w:w="1853" w:type="dxa"/>
            <w:tcBorders>
              <w:top w:val="single" w:color="auto" w:sz="4" w:space="0"/>
              <w:left w:val="single" w:color="auto" w:sz="4" w:space="0"/>
              <w:bottom w:val="single" w:color="auto" w:sz="4" w:space="0"/>
              <w:right w:val="single" w:color="auto" w:sz="4" w:space="0"/>
            </w:tcBorders>
            <w:vAlign w:val="center"/>
          </w:tcPr>
          <w:p w14:paraId="5E22B54A">
            <w:pPr>
              <w:spacing w:line="400" w:lineRule="exact"/>
              <w:jc w:val="center"/>
              <w:rPr>
                <w:rFonts w:ascii="Times New Roman" w:hAnsi="Times New Roman" w:cs="宋体"/>
                <w:b/>
                <w:bCs/>
                <w:szCs w:val="21"/>
              </w:rPr>
            </w:pPr>
            <w:r>
              <w:rPr>
                <w:rFonts w:hint="eastAsia" w:ascii="Times New Roman" w:hAnsi="Times New Roman" w:cs="宋体"/>
                <w:b/>
                <w:bCs/>
                <w:szCs w:val="21"/>
              </w:rPr>
              <w:t>项目实施计划与</w:t>
            </w:r>
          </w:p>
          <w:p w14:paraId="0155EAED">
            <w:pPr>
              <w:spacing w:line="400" w:lineRule="exact"/>
              <w:jc w:val="center"/>
              <w:rPr>
                <w:rFonts w:ascii="Times New Roman" w:hAnsi="Times New Roman" w:cs="宋体"/>
                <w:b/>
                <w:bCs/>
                <w:szCs w:val="21"/>
              </w:rPr>
            </w:pPr>
            <w:r>
              <w:rPr>
                <w:rFonts w:hint="eastAsia" w:ascii="Times New Roman" w:hAnsi="Times New Roman" w:cs="宋体"/>
                <w:b/>
                <w:bCs/>
                <w:szCs w:val="21"/>
              </w:rPr>
              <w:t>保障措施</w:t>
            </w:r>
          </w:p>
          <w:p w14:paraId="18DCE9CB">
            <w:pPr>
              <w:pStyle w:val="5"/>
              <w:rPr>
                <w:rFonts w:ascii="Times New Roman" w:hAnsi="Times New Roman"/>
                <w:sz w:val="21"/>
                <w:szCs w:val="21"/>
              </w:rPr>
            </w:pPr>
            <w:r>
              <w:rPr>
                <w:rFonts w:hint="eastAsia" w:ascii="Times New Roman" w:hAnsi="Times New Roman" w:eastAsia="宋体" w:cs="宋体"/>
                <w:b/>
                <w:kern w:val="0"/>
                <w:sz w:val="21"/>
                <w:szCs w:val="21"/>
                <w:lang w:bidi="ar"/>
              </w:rPr>
              <w:t>（满分</w:t>
            </w:r>
            <w:r>
              <w:rPr>
                <w:rFonts w:hint="eastAsia" w:ascii="Times New Roman" w:hAnsi="Times New Roman" w:eastAsia="宋体" w:cs="宋体"/>
                <w:b/>
                <w:kern w:val="0"/>
                <w:sz w:val="21"/>
                <w:szCs w:val="21"/>
                <w:lang w:val="en-US" w:eastAsia="zh-CN" w:bidi="ar"/>
              </w:rPr>
              <w:t>10</w:t>
            </w:r>
            <w:r>
              <w:rPr>
                <w:rFonts w:hint="eastAsia" w:ascii="Times New Roman" w:hAnsi="Times New Roman" w:eastAsia="宋体" w:cs="宋体"/>
                <w:b/>
                <w:kern w:val="0"/>
                <w:sz w:val="21"/>
                <w:szCs w:val="21"/>
                <w:lang w:bidi="ar"/>
              </w:rPr>
              <w:t>分）</w:t>
            </w:r>
          </w:p>
        </w:tc>
        <w:tc>
          <w:tcPr>
            <w:tcW w:w="4759" w:type="dxa"/>
            <w:tcBorders>
              <w:top w:val="single" w:color="auto" w:sz="4" w:space="0"/>
              <w:left w:val="single" w:color="auto" w:sz="4" w:space="0"/>
              <w:bottom w:val="single" w:color="auto" w:sz="4" w:space="0"/>
              <w:right w:val="single" w:color="auto" w:sz="4" w:space="0"/>
            </w:tcBorders>
            <w:vAlign w:val="center"/>
          </w:tcPr>
          <w:p w14:paraId="44B10E2E">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投标人制定项目实施计划（含赛程节点、工作分工、周报制度落地等）及配套保障措施（质量保障、风险控制、跨单位协调机制等），按以下标准评分：</w:t>
            </w:r>
          </w:p>
          <w:p w14:paraId="6EA5501E">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1. 同时满足以下全部条件，得 10 分：</w:t>
            </w:r>
          </w:p>
          <w:p w14:paraId="569B15D5">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（1）实施计划完全贴合赛事时间要求，工作分工明确，关键节点清晰可追溯；</w:t>
            </w:r>
          </w:p>
          <w:p w14:paraId="2BCE0023">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（2）周报制度、跨单位统筹协调机制具备明确的执行流程，可直接落地；</w:t>
            </w:r>
          </w:p>
          <w:p w14:paraId="5D3FAC32">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（3）质量保障、风险防控措施针对性强，完全贴合赛事运营实际场景，覆盖关键风险点。</w:t>
            </w:r>
          </w:p>
          <w:p w14:paraId="7A056857">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2. 同时满足以下全部条件，得 7 分：</w:t>
            </w:r>
          </w:p>
          <w:p w14:paraId="3248B9C3">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（1）实施计划完整，核心赛程节点明确，工作分工无重大模糊；</w:t>
            </w:r>
          </w:p>
          <w:p w14:paraId="7271BFF7">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（2）周报制度、协调机制基本可行，可支撑赛事正常推进；</w:t>
            </w:r>
          </w:p>
          <w:p w14:paraId="3DFE588A">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（3）质量保障、风险防控措施基本满足项目要求，覆盖主要风险点。</w:t>
            </w:r>
          </w:p>
          <w:p w14:paraId="3B0F3B3D">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3. 满足以下任一情况，得 4 分：</w:t>
            </w:r>
          </w:p>
          <w:p w14:paraId="2E07ADDB">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（1）实施计划存在明显缺失，关键节点模糊不清；</w:t>
            </w:r>
          </w:p>
          <w:p w14:paraId="715F8F7F">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（2）协调机制、周报制度不完善，缺乏可操作性；</w:t>
            </w:r>
          </w:p>
          <w:p w14:paraId="2D0D07B6">
            <w:pPr>
              <w:widowControl/>
              <w:spacing w:line="400" w:lineRule="exact"/>
              <w:jc w:val="left"/>
              <w:textAlignment w:val="center"/>
              <w:rPr>
                <w:rFonts w:hint="eastAsia" w:ascii="Times New Roman" w:hAnsi="Times New Roman" w:cs="宋体"/>
                <w:szCs w:val="21"/>
                <w:lang w:bidi="ar"/>
              </w:rPr>
            </w:pPr>
            <w:r>
              <w:rPr>
                <w:rFonts w:hint="eastAsia" w:ascii="Times New Roman" w:hAnsi="Times New Roman" w:cs="宋体"/>
                <w:szCs w:val="21"/>
                <w:lang w:bidi="ar"/>
              </w:rPr>
              <w:t>（3）质量保障、风险防控措施针对性不足，未覆盖赛事核心风险。</w:t>
            </w:r>
          </w:p>
          <w:p w14:paraId="06710E45">
            <w:pPr>
              <w:widowControl/>
              <w:spacing w:line="400" w:lineRule="exact"/>
              <w:jc w:val="left"/>
              <w:textAlignment w:val="center"/>
              <w:rPr>
                <w:rFonts w:hint="eastAsia" w:ascii="Times New Roman" w:hAnsi="Times New Roman" w:eastAsia="宋体" w:cs="宋体"/>
                <w:kern w:val="2"/>
                <w:szCs w:val="21"/>
                <w:lang w:bidi="ar"/>
              </w:rPr>
            </w:pPr>
            <w:r>
              <w:rPr>
                <w:rFonts w:hint="eastAsia" w:ascii="Times New Roman" w:hAnsi="Times New Roman" w:cs="宋体"/>
                <w:szCs w:val="21"/>
                <w:lang w:bidi="ar"/>
              </w:rPr>
              <w:t>4. 未提供项目实施计划及保障措施的，得 0 分。</w:t>
            </w:r>
          </w:p>
        </w:tc>
        <w:tc>
          <w:tcPr>
            <w:tcW w:w="1065" w:type="dxa"/>
            <w:tcBorders>
              <w:top w:val="single" w:color="auto" w:sz="4" w:space="0"/>
              <w:left w:val="single" w:color="auto" w:sz="4" w:space="0"/>
              <w:bottom w:val="single" w:color="auto" w:sz="4" w:space="0"/>
              <w:right w:val="single" w:color="auto" w:sz="4" w:space="0"/>
            </w:tcBorders>
            <w:noWrap/>
            <w:vAlign w:val="center"/>
          </w:tcPr>
          <w:p w14:paraId="75F71E7C">
            <w:pPr>
              <w:spacing w:line="400" w:lineRule="exact"/>
              <w:jc w:val="center"/>
              <w:rPr>
                <w:rFonts w:ascii="Times New Roman" w:hAnsi="Times New Roman" w:cs="宋体"/>
                <w:szCs w:val="21"/>
              </w:rPr>
            </w:pPr>
            <w:r>
              <w:rPr>
                <w:rFonts w:hint="eastAsia" w:ascii="Times New Roman" w:hAnsi="Times New Roman" w:cs="宋体"/>
                <w:b/>
                <w:bCs/>
                <w:szCs w:val="21"/>
              </w:rPr>
              <w:t>1</w:t>
            </w:r>
            <w:r>
              <w:rPr>
                <w:rFonts w:hint="eastAsia" w:ascii="Times New Roman" w:hAnsi="Times New Roman" w:cs="宋体"/>
                <w:b/>
                <w:bCs/>
                <w:szCs w:val="21"/>
                <w:lang w:val="en-US" w:eastAsia="zh-CN"/>
                <w:woUserID w:val="1"/>
              </w:rPr>
              <w:t>0</w:t>
            </w:r>
            <w:r>
              <w:rPr>
                <w:rFonts w:hint="eastAsia" w:ascii="Times New Roman" w:hAnsi="Times New Roman" w:cs="宋体"/>
                <w:b/>
                <w:bCs/>
                <w:szCs w:val="21"/>
              </w:rPr>
              <w:t>分</w:t>
            </w:r>
          </w:p>
        </w:tc>
      </w:tr>
      <w:tr w14:paraId="76DB1728">
        <w:trPr>
          <w:trHeight w:val="3590" w:hRule="atLeast"/>
        </w:trPr>
        <w:tc>
          <w:tcPr>
            <w:tcW w:w="842" w:type="dxa"/>
            <w:tcBorders>
              <w:top w:val="single" w:color="auto" w:sz="4" w:space="0"/>
              <w:left w:val="single" w:color="auto" w:sz="4" w:space="0"/>
              <w:bottom w:val="single" w:color="auto" w:sz="4" w:space="0"/>
              <w:right w:val="single" w:color="auto" w:sz="4" w:space="0"/>
            </w:tcBorders>
            <w:vAlign w:val="center"/>
          </w:tcPr>
          <w:p w14:paraId="753A6851">
            <w:pPr>
              <w:spacing w:line="400" w:lineRule="exact"/>
              <w:jc w:val="center"/>
              <w:rPr>
                <w:rFonts w:ascii="Times New Roman" w:hAnsi="Times New Roman" w:cs="宋体"/>
                <w:b/>
                <w:bCs/>
                <w:szCs w:val="21"/>
              </w:rPr>
            </w:pPr>
            <w:r>
              <w:rPr>
                <w:rFonts w:ascii="Times New Roman" w:hAnsi="Times New Roman" w:cs="宋体"/>
                <w:b/>
                <w:bCs/>
                <w:szCs w:val="21"/>
              </w:rPr>
              <w:t>2.4</w:t>
            </w:r>
          </w:p>
        </w:tc>
        <w:tc>
          <w:tcPr>
            <w:tcW w:w="1853" w:type="dxa"/>
            <w:tcBorders>
              <w:top w:val="single" w:color="auto" w:sz="4" w:space="0"/>
              <w:left w:val="single" w:color="auto" w:sz="4" w:space="0"/>
              <w:right w:val="single" w:color="auto" w:sz="4" w:space="0"/>
            </w:tcBorders>
            <w:vAlign w:val="center"/>
          </w:tcPr>
          <w:p w14:paraId="026C862D">
            <w:pPr>
              <w:widowControl/>
              <w:spacing w:line="400" w:lineRule="exact"/>
              <w:jc w:val="center"/>
              <w:textAlignment w:val="center"/>
              <w:rPr>
                <w:rFonts w:ascii="Times New Roman" w:hAnsi="Times New Roman" w:cs="宋体"/>
                <w:b/>
                <w:bCs/>
                <w:kern w:val="0"/>
                <w:szCs w:val="21"/>
                <w:lang w:bidi="ar"/>
              </w:rPr>
            </w:pPr>
            <w:r>
              <w:rPr>
                <w:rFonts w:hint="eastAsia" w:ascii="Times New Roman" w:hAnsi="Times New Roman" w:cs="宋体"/>
                <w:b/>
                <w:bCs/>
                <w:kern w:val="0"/>
                <w:szCs w:val="21"/>
                <w:lang w:bidi="ar"/>
              </w:rPr>
              <w:t>服务响应与现场</w:t>
            </w:r>
          </w:p>
          <w:p w14:paraId="5199DA32">
            <w:pPr>
              <w:widowControl/>
              <w:spacing w:line="400" w:lineRule="exact"/>
              <w:jc w:val="center"/>
              <w:textAlignment w:val="center"/>
              <w:rPr>
                <w:rFonts w:ascii="Times New Roman" w:hAnsi="Times New Roman" w:cs="宋体"/>
                <w:b/>
                <w:bCs/>
                <w:kern w:val="0"/>
                <w:szCs w:val="21"/>
                <w:lang w:bidi="ar"/>
              </w:rPr>
            </w:pPr>
            <w:r>
              <w:rPr>
                <w:rFonts w:hint="eastAsia" w:ascii="Times New Roman" w:hAnsi="Times New Roman" w:cs="宋体"/>
                <w:b/>
                <w:bCs/>
                <w:kern w:val="0"/>
                <w:szCs w:val="21"/>
                <w:lang w:bidi="ar"/>
              </w:rPr>
              <w:t>支持能力</w:t>
            </w:r>
          </w:p>
          <w:p w14:paraId="00F8C4BD">
            <w:pPr>
              <w:widowControl/>
              <w:spacing w:line="400" w:lineRule="exact"/>
              <w:jc w:val="center"/>
              <w:textAlignment w:val="center"/>
              <w:rPr>
                <w:rFonts w:ascii="Times New Roman" w:hAnsi="Times New Roman"/>
                <w:szCs w:val="21"/>
              </w:rPr>
            </w:pPr>
            <w:r>
              <w:rPr>
                <w:rFonts w:hint="eastAsia" w:ascii="Times New Roman" w:hAnsi="Times New Roman" w:cs="宋体"/>
                <w:b/>
                <w:bCs/>
                <w:kern w:val="0"/>
                <w:szCs w:val="21"/>
                <w:lang w:bidi="ar"/>
              </w:rPr>
              <w:t>（满分 10 分）</w:t>
            </w:r>
          </w:p>
        </w:tc>
        <w:tc>
          <w:tcPr>
            <w:tcW w:w="4759" w:type="dxa"/>
            <w:tcBorders>
              <w:top w:val="single" w:color="auto" w:sz="4" w:space="0"/>
              <w:left w:val="single" w:color="auto" w:sz="4" w:space="0"/>
              <w:right w:val="single" w:color="auto" w:sz="4" w:space="0"/>
            </w:tcBorders>
            <w:vAlign w:val="center"/>
          </w:tcPr>
          <w:p w14:paraId="3CAB9DFD">
            <w:pPr>
              <w:widowControl/>
              <w:jc w:val="left"/>
              <w:textAlignment w:val="center"/>
              <w:rPr>
                <w:rFonts w:hint="eastAsia" w:ascii="Times New Roman" w:hAnsi="Times New Roman" w:eastAsia="宋体" w:cs="宋体"/>
                <w:szCs w:val="21"/>
                <w:lang w:bidi="ar"/>
              </w:rPr>
            </w:pPr>
            <w:r>
              <w:rPr>
                <w:rFonts w:hint="eastAsia" w:ascii="Times New Roman" w:hAnsi="Times New Roman" w:eastAsia="宋体" w:cs="宋体"/>
                <w:szCs w:val="21"/>
                <w:lang w:bidi="ar"/>
              </w:rPr>
              <w:t>结合项目现场服务、紧急事项响应实施要求评分，分两部分考核：</w:t>
            </w:r>
          </w:p>
          <w:p w14:paraId="5D19322B">
            <w:pPr>
              <w:widowControl/>
              <w:jc w:val="left"/>
              <w:textAlignment w:val="center"/>
              <w:rPr>
                <w:rFonts w:hint="eastAsia" w:ascii="Times New Roman" w:hAnsi="Times New Roman" w:eastAsia="宋体" w:cs="宋体"/>
                <w:szCs w:val="21"/>
                <w:lang w:bidi="ar"/>
              </w:rPr>
            </w:pPr>
            <w:r>
              <w:rPr>
                <w:rFonts w:hint="eastAsia" w:ascii="Times New Roman" w:hAnsi="Times New Roman" w:eastAsia="宋体" w:cs="宋体"/>
                <w:szCs w:val="21"/>
                <w:lang w:bidi="ar"/>
              </w:rPr>
              <w:t>（1）服务响应时间（6 分）：针对赛事紧急调度、方案调整、需求清单提供等事项提供承诺函，承诺所有响应时间≤6 小时得 6 分；6 小时＜响应时间≤24 小时得 3 分；响应时间＞24 小时得 0 分（多项承诺取最长时间计分）；</w:t>
            </w:r>
          </w:p>
          <w:p w14:paraId="481AF0B0">
            <w:pPr>
              <w:widowControl/>
              <w:jc w:val="left"/>
              <w:textAlignment w:val="center"/>
              <w:rPr>
                <w:rFonts w:hint="eastAsia" w:ascii="Times New Roman" w:hAnsi="Times New Roman" w:eastAsia="宋体" w:cs="宋体"/>
                <w:szCs w:val="21"/>
                <w:lang w:bidi="ar"/>
              </w:rPr>
            </w:pPr>
            <w:r>
              <w:rPr>
                <w:rFonts w:hint="eastAsia" w:ascii="Times New Roman" w:hAnsi="Times New Roman" w:eastAsia="宋体" w:cs="宋体"/>
                <w:szCs w:val="21"/>
                <w:lang w:bidi="ar"/>
              </w:rPr>
              <w:t>（2）现场支持保障（4 分）：承诺赛事重要节点派遣不少于 3 人专职团队现场支持，且明确现场人员分工、服务内容的得 4 分；仅承诺人数未明确分工的得 2 分；未承诺满足现场人数要求的得 0 分。</w:t>
            </w:r>
          </w:p>
        </w:tc>
        <w:tc>
          <w:tcPr>
            <w:tcW w:w="1065" w:type="dxa"/>
            <w:tcBorders>
              <w:top w:val="single" w:color="auto" w:sz="4" w:space="0"/>
              <w:left w:val="single" w:color="auto" w:sz="4" w:space="0"/>
              <w:bottom w:val="single" w:color="auto" w:sz="4" w:space="0"/>
              <w:right w:val="single" w:color="auto" w:sz="4" w:space="0"/>
            </w:tcBorders>
            <w:noWrap/>
            <w:vAlign w:val="center"/>
          </w:tcPr>
          <w:p w14:paraId="0E979A38">
            <w:pPr>
              <w:spacing w:line="400" w:lineRule="exact"/>
              <w:jc w:val="center"/>
              <w:rPr>
                <w:rFonts w:ascii="Times New Roman" w:hAnsi="Times New Roman" w:cs="宋体"/>
                <w:szCs w:val="21"/>
              </w:rPr>
            </w:pPr>
            <w:r>
              <w:rPr>
                <w:rFonts w:hint="eastAsia" w:ascii="Times New Roman" w:hAnsi="Times New Roman" w:cs="宋体"/>
                <w:b/>
                <w:bCs/>
                <w:szCs w:val="21"/>
              </w:rPr>
              <w:t>10分</w:t>
            </w:r>
          </w:p>
        </w:tc>
      </w:tr>
      <w:tr w14:paraId="4DD9AA46">
        <w:trPr>
          <w:trHeight w:val="2055" w:hRule="atLeast"/>
        </w:trPr>
        <w:tc>
          <w:tcPr>
            <w:tcW w:w="842" w:type="dxa"/>
            <w:tcBorders>
              <w:top w:val="single" w:color="auto" w:sz="4" w:space="0"/>
              <w:left w:val="single" w:color="auto" w:sz="4" w:space="0"/>
              <w:bottom w:val="single" w:color="auto" w:sz="4" w:space="0"/>
              <w:right w:val="single" w:color="auto" w:sz="4" w:space="0"/>
            </w:tcBorders>
            <w:vAlign w:val="center"/>
          </w:tcPr>
          <w:p w14:paraId="2925DE44">
            <w:pPr>
              <w:widowControl/>
              <w:spacing w:line="400" w:lineRule="exact"/>
              <w:jc w:val="center"/>
              <w:textAlignment w:val="center"/>
              <w:rPr>
                <w:rFonts w:ascii="Times New Roman" w:hAnsi="Times New Roman" w:cs="宋体"/>
                <w:b/>
                <w:bCs/>
                <w:kern w:val="0"/>
                <w:szCs w:val="21"/>
                <w:lang w:bidi="ar"/>
              </w:rPr>
            </w:pPr>
            <w:r>
              <w:rPr>
                <w:rFonts w:ascii="Times New Roman" w:hAnsi="Times New Roman" w:cs="宋体"/>
                <w:b/>
                <w:bCs/>
                <w:kern w:val="0"/>
                <w:szCs w:val="21"/>
                <w:lang w:bidi="ar"/>
              </w:rPr>
              <w:t>2.5</w:t>
            </w:r>
          </w:p>
        </w:tc>
        <w:tc>
          <w:tcPr>
            <w:tcW w:w="1853" w:type="dxa"/>
            <w:tcBorders>
              <w:top w:val="single" w:color="auto" w:sz="4" w:space="0"/>
              <w:left w:val="single" w:color="auto" w:sz="4" w:space="0"/>
              <w:bottom w:val="single" w:color="auto" w:sz="4" w:space="0"/>
              <w:right w:val="single" w:color="auto" w:sz="4" w:space="0"/>
            </w:tcBorders>
            <w:vAlign w:val="center"/>
          </w:tcPr>
          <w:p w14:paraId="7F1B180F">
            <w:pPr>
              <w:widowControl/>
              <w:spacing w:line="400" w:lineRule="exact"/>
              <w:jc w:val="center"/>
              <w:textAlignment w:val="center"/>
              <w:rPr>
                <w:rFonts w:ascii="Times New Roman" w:hAnsi="Times New Roman" w:cs="宋体"/>
                <w:b/>
                <w:bCs/>
                <w:szCs w:val="21"/>
              </w:rPr>
            </w:pPr>
            <w:r>
              <w:rPr>
                <w:rFonts w:hint="eastAsia" w:ascii="Times New Roman" w:hAnsi="Times New Roman" w:cs="宋体"/>
                <w:b/>
                <w:bCs/>
                <w:szCs w:val="21"/>
              </w:rPr>
              <w:t>项目团队配置</w:t>
            </w:r>
          </w:p>
          <w:p w14:paraId="27C62B30">
            <w:pPr>
              <w:widowControl/>
              <w:spacing w:line="400" w:lineRule="exact"/>
              <w:jc w:val="center"/>
              <w:textAlignment w:val="center"/>
              <w:rPr>
                <w:rFonts w:ascii="Times New Roman" w:hAnsi="Times New Roman" w:cs="宋体"/>
                <w:b/>
                <w:bCs/>
                <w:szCs w:val="21"/>
              </w:rPr>
            </w:pPr>
            <w:r>
              <w:rPr>
                <w:rFonts w:hint="eastAsia" w:ascii="Times New Roman" w:hAnsi="Times New Roman" w:cs="宋体"/>
                <w:b/>
                <w:bCs/>
                <w:szCs w:val="21"/>
              </w:rPr>
              <w:t xml:space="preserve">（满分 </w:t>
            </w:r>
            <w:r>
              <w:rPr>
                <w:rFonts w:hint="eastAsia" w:ascii="Times New Roman" w:hAnsi="Times New Roman" w:cs="宋体"/>
                <w:b/>
                <w:bCs/>
                <w:szCs w:val="21"/>
                <w:lang w:val="en-US" w:eastAsia="zh-CN"/>
              </w:rPr>
              <w:t>10</w:t>
            </w:r>
            <w:r>
              <w:rPr>
                <w:rFonts w:hint="eastAsia" w:ascii="Times New Roman" w:hAnsi="Times New Roman" w:cs="宋体"/>
                <w:b/>
                <w:bCs/>
                <w:szCs w:val="21"/>
              </w:rPr>
              <w:t xml:space="preserve"> 分</w:t>
            </w:r>
            <w:r>
              <w:rPr>
                <w:rFonts w:hint="eastAsia" w:cs="宋体"/>
                <w:b/>
                <w:bCs/>
                <w:szCs w:val="21"/>
              </w:rPr>
              <w:t>）</w:t>
            </w:r>
          </w:p>
        </w:tc>
        <w:tc>
          <w:tcPr>
            <w:tcW w:w="4759" w:type="dxa"/>
            <w:tcBorders>
              <w:top w:val="single" w:color="auto" w:sz="4" w:space="0"/>
              <w:left w:val="single" w:color="auto" w:sz="4" w:space="0"/>
              <w:bottom w:val="single" w:color="000000" w:sz="4" w:space="0"/>
              <w:right w:val="single" w:color="000000" w:sz="4" w:space="0"/>
            </w:tcBorders>
            <w:vAlign w:val="center"/>
          </w:tcPr>
          <w:p w14:paraId="78284C44">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结合项目人员专职化、团队规模实施要求，对拟投入项目实施人员进行评分，需提供人员社保、资质、分工等证明材料，未提供的不得分：</w:t>
            </w:r>
          </w:p>
          <w:p w14:paraId="420654D8">
            <w:pPr>
              <w:widowControl/>
              <w:spacing w:line="400" w:lineRule="exact"/>
              <w:jc w:val="left"/>
              <w:textAlignment w:val="center"/>
              <w:rPr>
                <w:rFonts w:hint="eastAsia" w:ascii="Times New Roman" w:hAnsi="Times New Roman" w:eastAsia="宋体" w:cs="宋体"/>
                <w:szCs w:val="21"/>
                <w:lang w:eastAsia="zh-CN"/>
              </w:rPr>
            </w:pPr>
            <w:r>
              <w:rPr>
                <w:rFonts w:hint="eastAsia" w:ascii="Times New Roman" w:hAnsi="Times New Roman" w:cs="宋体"/>
                <w:szCs w:val="21"/>
                <w:lang w:eastAsia="zh-CN"/>
              </w:rPr>
              <w:t>（</w:t>
            </w:r>
            <w:r>
              <w:rPr>
                <w:rFonts w:hint="eastAsia" w:ascii="Times New Roman" w:hAnsi="Times New Roman" w:cs="宋体"/>
                <w:szCs w:val="21"/>
                <w:lang w:val="en-US" w:eastAsia="zh-CN"/>
              </w:rPr>
              <w:t>1</w:t>
            </w:r>
            <w:r>
              <w:rPr>
                <w:rFonts w:hint="eastAsia" w:ascii="Times New Roman" w:hAnsi="Times New Roman" w:cs="宋体"/>
                <w:szCs w:val="21"/>
                <w:lang w:eastAsia="zh-CN"/>
              </w:rPr>
              <w:t>）</w:t>
            </w:r>
            <w:r>
              <w:rPr>
                <w:rFonts w:hint="eastAsia" w:ascii="Times New Roman" w:hAnsi="Times New Roman" w:eastAsia="宋体" w:cs="宋体"/>
                <w:kern w:val="2"/>
                <w:szCs w:val="21"/>
              </w:rPr>
              <w:t>需提供项目团队成员有效的身份证正反面扫描件及投标人为人员缴纳的</w:t>
            </w:r>
            <w:r>
              <w:rPr>
                <w:rFonts w:hint="eastAsia" w:ascii="Times New Roman" w:hAnsi="Times New Roman" w:eastAsia="宋体" w:cs="宋体"/>
                <w:kern w:val="2"/>
                <w:szCs w:val="21"/>
                <w:lang w:val="en-US" w:eastAsia="zh-CN"/>
              </w:rPr>
              <w:t>近半年的</w:t>
            </w:r>
            <w:r>
              <w:rPr>
                <w:rFonts w:hint="eastAsia" w:ascii="Times New Roman" w:hAnsi="Times New Roman" w:eastAsia="宋体" w:cs="宋体"/>
                <w:kern w:val="2"/>
                <w:szCs w:val="21"/>
              </w:rPr>
              <w:t>社保缴费证明材料（如为代缴还须提供代缴单位与投标人间的合作协议），无缴费记录的，应提供由社保部门出具的《依法缴纳或依法免缴社保费证明》复印件，未按以上要求提供证明材料的，不得分。</w:t>
            </w:r>
          </w:p>
          <w:p w14:paraId="0059CE39">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w:t>
            </w:r>
            <w:r>
              <w:rPr>
                <w:rFonts w:hint="eastAsia" w:ascii="Times New Roman" w:hAnsi="Times New Roman" w:cs="宋体"/>
                <w:szCs w:val="21"/>
                <w:lang w:val="en-US" w:eastAsia="zh-CN"/>
              </w:rPr>
              <w:t>2</w:t>
            </w:r>
            <w:r>
              <w:rPr>
                <w:rFonts w:hint="eastAsia" w:ascii="Times New Roman" w:hAnsi="Times New Roman" w:eastAsia="宋体" w:cs="宋体"/>
                <w:szCs w:val="21"/>
              </w:rPr>
              <w:t>）拟投入专职运营团队≥3 人，分工明确（含赛事统筹、组织、成果转化等），得 10 分；</w:t>
            </w:r>
          </w:p>
          <w:p w14:paraId="3A65882C">
            <w:pPr>
              <w:widowControl/>
              <w:spacing w:line="400" w:lineRule="exact"/>
              <w:ind w:firstLine="0" w:firstLineChars="0"/>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w:t>
            </w:r>
            <w:r>
              <w:rPr>
                <w:rFonts w:hint="eastAsia" w:ascii="Times New Roman" w:hAnsi="Times New Roman" w:cs="宋体"/>
                <w:szCs w:val="21"/>
                <w:lang w:val="en-US" w:eastAsia="zh-CN"/>
              </w:rPr>
              <w:t>3</w:t>
            </w:r>
            <w:r>
              <w:rPr>
                <w:rFonts w:hint="eastAsia" w:ascii="Times New Roman" w:hAnsi="Times New Roman" w:eastAsia="宋体" w:cs="宋体"/>
                <w:szCs w:val="21"/>
              </w:rPr>
              <w:t>）拟投入专职运营团队＜3 人，得 0 分。</w:t>
            </w:r>
          </w:p>
        </w:tc>
        <w:tc>
          <w:tcPr>
            <w:tcW w:w="1065" w:type="dxa"/>
            <w:tcBorders>
              <w:top w:val="single" w:color="auto" w:sz="4" w:space="0"/>
              <w:left w:val="single" w:color="000000" w:sz="4" w:space="0"/>
              <w:bottom w:val="single" w:color="000000" w:sz="4" w:space="0"/>
              <w:right w:val="single" w:color="000000" w:sz="4" w:space="0"/>
            </w:tcBorders>
            <w:noWrap/>
            <w:vAlign w:val="center"/>
          </w:tcPr>
          <w:p w14:paraId="72635841">
            <w:pPr>
              <w:widowControl/>
              <w:spacing w:line="400" w:lineRule="exact"/>
              <w:jc w:val="center"/>
              <w:textAlignment w:val="center"/>
              <w:rPr>
                <w:rFonts w:ascii="Times New Roman" w:hAnsi="Times New Roman" w:cs="宋体"/>
                <w:szCs w:val="21"/>
              </w:rPr>
            </w:pPr>
            <w:r>
              <w:rPr>
                <w:rFonts w:hint="eastAsia" w:ascii="Times New Roman" w:hAnsi="Times New Roman" w:cs="宋体"/>
                <w:b/>
                <w:bCs/>
                <w:szCs w:val="21"/>
                <w:lang w:val="en-US" w:eastAsia="zh-CN"/>
              </w:rPr>
              <w:t>10</w:t>
            </w:r>
            <w:r>
              <w:rPr>
                <w:rFonts w:hint="eastAsia" w:ascii="Times New Roman" w:hAnsi="Times New Roman" w:cs="宋体"/>
                <w:b/>
                <w:bCs/>
                <w:szCs w:val="21"/>
              </w:rPr>
              <w:t>分</w:t>
            </w:r>
          </w:p>
        </w:tc>
      </w:tr>
      <w:tr w14:paraId="5300C881">
        <w:trPr>
          <w:trHeight w:val="285" w:hRule="atLeast"/>
        </w:trPr>
        <w:tc>
          <w:tcPr>
            <w:tcW w:w="842" w:type="dxa"/>
            <w:tcBorders>
              <w:top w:val="single" w:color="auto" w:sz="4" w:space="0"/>
              <w:left w:val="single" w:color="auto" w:sz="4" w:space="0"/>
              <w:bottom w:val="single" w:color="auto" w:sz="4" w:space="0"/>
              <w:right w:val="single" w:color="auto" w:sz="4" w:space="0"/>
            </w:tcBorders>
            <w:vAlign w:val="center"/>
          </w:tcPr>
          <w:p w14:paraId="44973EB3">
            <w:pPr>
              <w:widowControl/>
              <w:spacing w:line="400" w:lineRule="exact"/>
              <w:jc w:val="center"/>
              <w:textAlignment w:val="center"/>
              <w:rPr>
                <w:rFonts w:ascii="Times New Roman" w:hAnsi="Times New Roman" w:cs="宋体"/>
                <w:b/>
                <w:bCs/>
                <w:kern w:val="0"/>
                <w:szCs w:val="21"/>
                <w:lang w:bidi="ar"/>
              </w:rPr>
            </w:pPr>
            <w:r>
              <w:rPr>
                <w:rFonts w:ascii="Times New Roman" w:hAnsi="Times New Roman" w:cs="宋体"/>
                <w:b/>
                <w:bCs/>
                <w:kern w:val="0"/>
                <w:szCs w:val="21"/>
                <w:lang w:bidi="ar"/>
              </w:rPr>
              <w:t>2.6</w:t>
            </w:r>
          </w:p>
        </w:tc>
        <w:tc>
          <w:tcPr>
            <w:tcW w:w="1853" w:type="dxa"/>
            <w:tcBorders>
              <w:top w:val="single" w:color="auto" w:sz="4" w:space="0"/>
              <w:left w:val="single" w:color="auto" w:sz="4" w:space="0"/>
              <w:bottom w:val="single" w:color="auto" w:sz="4" w:space="0"/>
              <w:right w:val="single" w:color="auto" w:sz="4" w:space="0"/>
            </w:tcBorders>
            <w:vAlign w:val="center"/>
          </w:tcPr>
          <w:p w14:paraId="04BEE088">
            <w:pPr>
              <w:widowControl/>
              <w:spacing w:line="400" w:lineRule="exact"/>
              <w:jc w:val="center"/>
              <w:textAlignment w:val="center"/>
              <w:rPr>
                <w:rFonts w:ascii="Times New Roman" w:hAnsi="Times New Roman" w:cs="宋体"/>
                <w:b/>
                <w:bCs/>
                <w:szCs w:val="21"/>
              </w:rPr>
            </w:pPr>
            <w:r>
              <w:rPr>
                <w:rFonts w:hint="eastAsia" w:ascii="Times New Roman" w:hAnsi="Times New Roman" w:cs="宋体"/>
                <w:b/>
                <w:bCs/>
                <w:szCs w:val="21"/>
              </w:rPr>
              <w:t>项目负责人能力</w:t>
            </w:r>
          </w:p>
          <w:p w14:paraId="210B4C4C">
            <w:pPr>
              <w:widowControl/>
              <w:spacing w:line="400" w:lineRule="exact"/>
              <w:jc w:val="center"/>
              <w:textAlignment w:val="center"/>
              <w:rPr>
                <w:rFonts w:ascii="Times New Roman" w:hAnsi="Times New Roman"/>
                <w:szCs w:val="21"/>
              </w:rPr>
            </w:pPr>
            <w:r>
              <w:rPr>
                <w:rFonts w:hint="eastAsia" w:ascii="Times New Roman" w:hAnsi="Times New Roman" w:cs="宋体"/>
                <w:b/>
                <w:bCs/>
                <w:szCs w:val="21"/>
              </w:rPr>
              <w:t>（满分 5 分）</w:t>
            </w:r>
          </w:p>
        </w:tc>
        <w:tc>
          <w:tcPr>
            <w:tcW w:w="4759" w:type="dxa"/>
            <w:tcBorders>
              <w:top w:val="single" w:color="auto" w:sz="4" w:space="0"/>
              <w:left w:val="single" w:color="auto" w:sz="4" w:space="0"/>
              <w:bottom w:val="single" w:color="000000" w:sz="4" w:space="0"/>
              <w:right w:val="single" w:color="000000" w:sz="4" w:space="0"/>
            </w:tcBorders>
            <w:vAlign w:val="center"/>
          </w:tcPr>
          <w:p w14:paraId="55AB2341">
            <w:pPr>
              <w:widowControl/>
              <w:spacing w:line="400" w:lineRule="exact"/>
              <w:jc w:val="left"/>
              <w:textAlignment w:val="center"/>
              <w:rPr>
                <w:rFonts w:hint="eastAsia" w:ascii="Times New Roman" w:hAnsi="Times New Roman" w:eastAsia="宋体" w:cs="宋体"/>
                <w:kern w:val="2"/>
                <w:szCs w:val="21"/>
              </w:rPr>
            </w:pPr>
            <w:r>
              <w:rPr>
                <w:rFonts w:hint="eastAsia" w:ascii="Times New Roman" w:hAnsi="Times New Roman" w:eastAsia="宋体" w:cs="宋体"/>
                <w:kern w:val="2"/>
                <w:szCs w:val="21"/>
              </w:rPr>
              <w:t>对项目负责人（1人）能力进行评审：</w:t>
            </w:r>
          </w:p>
          <w:p w14:paraId="686E5F30">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400" w:lineRule="exact"/>
              <w:ind w:left="0" w:right="0"/>
              <w:jc w:val="left"/>
              <w:textAlignment w:val="center"/>
              <w:rPr>
                <w:rFonts w:hint="eastAsia" w:ascii="Times New Roman" w:hAnsi="Times New Roman" w:eastAsia="宋体" w:cs="宋体"/>
                <w:kern w:val="2"/>
                <w:sz w:val="21"/>
                <w:szCs w:val="21"/>
                <w:lang w:val="en-US" w:eastAsia="zh-CN" w:bidi="ar"/>
              </w:rPr>
            </w:pPr>
            <w:r>
              <w:rPr>
                <w:rFonts w:hint="eastAsia" w:ascii="Times New Roman" w:hAnsi="Times New Roman" w:eastAsia="宋体" w:cs="宋体"/>
                <w:kern w:val="2"/>
                <w:sz w:val="21"/>
                <w:szCs w:val="21"/>
                <w:lang w:val="en-US" w:eastAsia="zh-CN" w:bidi="ar"/>
              </w:rPr>
              <w:t>（1）项目负责人具备副高级或以上职称得 2 分，具备中级职称得 1 分，无职称不得分。</w:t>
            </w:r>
          </w:p>
          <w:p w14:paraId="5FAC6279">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400" w:lineRule="exact"/>
              <w:ind w:left="0" w:right="0"/>
              <w:jc w:val="left"/>
              <w:textAlignment w:val="center"/>
              <w:rPr>
                <w:rFonts w:hint="eastAsia" w:ascii="Times New Roman" w:hAnsi="Times New Roman" w:eastAsia="宋体" w:cs="宋体"/>
                <w:sz w:val="21"/>
                <w:szCs w:val="21"/>
              </w:rPr>
            </w:pPr>
            <w:r>
              <w:rPr>
                <w:rFonts w:hint="eastAsia" w:ascii="Times New Roman" w:hAnsi="Times New Roman" w:eastAsia="宋体" w:cs="宋体"/>
                <w:kern w:val="2"/>
                <w:sz w:val="21"/>
                <w:szCs w:val="21"/>
                <w:lang w:val="en-US" w:eastAsia="zh-CN" w:bidi="ar"/>
              </w:rPr>
              <w:t>（2）项目负责人具备相关工作经验，自职称证书或同等级专业技术资格证书载明时间起计算，满 5 年及以上得 3 分，满 3 年及以上得 2 分，满 1 年及以上得 1 分，不足 1 年不得分。</w:t>
            </w:r>
          </w:p>
          <w:p w14:paraId="703A7F3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00" w:lineRule="exact"/>
              <w:ind w:left="0" w:right="0"/>
              <w:jc w:val="left"/>
              <w:textAlignment w:val="center"/>
              <w:rPr>
                <w:rFonts w:hint="eastAsia" w:ascii="Times New Roman" w:hAnsi="Times New Roman" w:eastAsia="宋体" w:cs="宋体"/>
                <w:sz w:val="21"/>
                <w:szCs w:val="21"/>
              </w:rPr>
            </w:pPr>
            <w:r>
              <w:rPr>
                <w:rFonts w:hint="eastAsia" w:ascii="Times New Roman" w:hAnsi="Times New Roman" w:eastAsia="宋体" w:cs="宋体"/>
                <w:kern w:val="2"/>
                <w:sz w:val="21"/>
                <w:szCs w:val="21"/>
                <w:lang w:val="en-US" w:eastAsia="zh-CN" w:bidi="ar"/>
              </w:rPr>
              <w:t>注：</w:t>
            </w:r>
          </w:p>
          <w:p w14:paraId="19374B32">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400" w:lineRule="exact"/>
              <w:ind w:left="0" w:right="0" w:firstLine="0"/>
              <w:jc w:val="left"/>
              <w:textAlignment w:val="center"/>
              <w:rPr>
                <w:rFonts w:hint="eastAsia" w:ascii="Times New Roman" w:hAnsi="Times New Roman" w:eastAsia="宋体" w:cs="宋体"/>
                <w:sz w:val="21"/>
                <w:szCs w:val="21"/>
              </w:rPr>
            </w:pPr>
            <w:r>
              <w:rPr>
                <w:rFonts w:hint="eastAsia" w:ascii="Times New Roman" w:hAnsi="Times New Roman" w:eastAsia="宋体" w:cs="宋体"/>
                <w:sz w:val="21"/>
                <w:szCs w:val="21"/>
              </w:rPr>
              <w:t>需提供项目负责人有效身份证正反面扫描件、投标人为该人员缴纳</w:t>
            </w:r>
            <w:r>
              <w:rPr>
                <w:rFonts w:hint="eastAsia" w:ascii="Times New Roman" w:hAnsi="Times New Roman" w:eastAsia="宋体" w:cs="宋体"/>
                <w:sz w:val="21"/>
                <w:szCs w:val="21"/>
                <w:lang w:val="en-US" w:eastAsia="zh-CN"/>
              </w:rPr>
              <w:t>近半年</w:t>
            </w:r>
            <w:r>
              <w:rPr>
                <w:rFonts w:hint="eastAsia" w:ascii="Times New Roman" w:hAnsi="Times New Roman" w:eastAsia="宋体" w:cs="宋体"/>
                <w:sz w:val="21"/>
                <w:szCs w:val="21"/>
              </w:rPr>
              <w:t>的社保缴费证明材料，无缴费记录的，应提供由社保部门出具的《依法缴纳或依法免缴社保费证明》复印件，未按以上要求提供证明材料的，不得分。</w:t>
            </w:r>
          </w:p>
          <w:p w14:paraId="2ECED3FC">
            <w:pPr>
              <w:keepNext w:val="0"/>
              <w:keepLines w:val="0"/>
              <w:widowControl/>
              <w:numPr>
                <w:ilvl w:val="-1"/>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400" w:lineRule="exact"/>
              <w:ind w:left="0" w:right="0" w:firstLine="0"/>
              <w:jc w:val="left"/>
              <w:textAlignment w:val="center"/>
              <w:rPr>
                <w:rFonts w:hint="eastAsia" w:ascii="Times New Roman" w:hAnsi="Times New Roman" w:eastAsia="宋体" w:cs="宋体"/>
                <w:sz w:val="21"/>
                <w:szCs w:val="21"/>
              </w:rPr>
            </w:pPr>
            <w:r>
              <w:rPr>
                <w:rFonts w:hint="eastAsia" w:ascii="Times New Roman" w:hAnsi="Times New Roman" w:eastAsia="宋体" w:cs="宋体"/>
                <w:sz w:val="21"/>
                <w:szCs w:val="21"/>
              </w:rPr>
              <w:t>需提供项目负责人职称证书扫描件，职称证书需与本项目服务内容相关，工作经验从职称证书</w:t>
            </w:r>
            <w:r>
              <w:rPr>
                <w:rFonts w:hint="eastAsia" w:ascii="Times New Roman" w:hAnsi="Times New Roman" w:eastAsia="宋体" w:cs="宋体"/>
                <w:kern w:val="2"/>
                <w:sz w:val="21"/>
                <w:szCs w:val="21"/>
                <w:lang w:val="en-US" w:eastAsia="zh-CN" w:bidi="ar"/>
              </w:rPr>
              <w:t>或同等级专业技术资格证书</w:t>
            </w:r>
            <w:r>
              <w:rPr>
                <w:rFonts w:hint="eastAsia" w:ascii="Times New Roman" w:hAnsi="Times New Roman" w:eastAsia="宋体" w:cs="宋体"/>
                <w:sz w:val="21"/>
                <w:szCs w:val="21"/>
              </w:rPr>
              <w:t>载明的时间开始计算，未提供相关证明文件，该项不得分。</w:t>
            </w:r>
          </w:p>
          <w:p w14:paraId="2AAE1A4A">
            <w:pPr>
              <w:widowControl/>
              <w:spacing w:line="400" w:lineRule="exact"/>
              <w:jc w:val="left"/>
              <w:textAlignment w:val="center"/>
              <w:rPr>
                <w:rFonts w:hint="eastAsia" w:ascii="Times New Roman" w:hAnsi="Times New Roman" w:eastAsia="宋体" w:cs="宋体"/>
                <w:kern w:val="2"/>
                <w:szCs w:val="21"/>
              </w:rPr>
            </w:pPr>
          </w:p>
        </w:tc>
        <w:tc>
          <w:tcPr>
            <w:tcW w:w="1065" w:type="dxa"/>
            <w:tcBorders>
              <w:top w:val="single" w:color="auto" w:sz="4" w:space="0"/>
              <w:left w:val="single" w:color="000000" w:sz="4" w:space="0"/>
              <w:bottom w:val="single" w:color="000000" w:sz="4" w:space="0"/>
              <w:right w:val="single" w:color="000000" w:sz="4" w:space="0"/>
            </w:tcBorders>
            <w:noWrap/>
            <w:vAlign w:val="center"/>
          </w:tcPr>
          <w:p w14:paraId="7267A242">
            <w:pPr>
              <w:widowControl/>
              <w:spacing w:line="400" w:lineRule="exact"/>
              <w:jc w:val="center"/>
              <w:textAlignment w:val="center"/>
              <w:rPr>
                <w:rFonts w:ascii="Times New Roman" w:hAnsi="Times New Roman" w:cs="宋体"/>
                <w:b/>
                <w:bCs/>
                <w:szCs w:val="21"/>
              </w:rPr>
            </w:pPr>
            <w:r>
              <w:rPr>
                <w:rFonts w:ascii="Times New Roman" w:hAnsi="Times New Roman" w:cs="宋体"/>
                <w:b/>
                <w:bCs/>
                <w:szCs w:val="21"/>
              </w:rPr>
              <w:t>5</w:t>
            </w:r>
            <w:r>
              <w:rPr>
                <w:rFonts w:hint="eastAsia" w:ascii="Times New Roman" w:hAnsi="Times New Roman" w:cs="宋体"/>
                <w:b/>
                <w:bCs/>
                <w:szCs w:val="21"/>
              </w:rPr>
              <w:t>分</w:t>
            </w:r>
          </w:p>
        </w:tc>
      </w:tr>
      <w:tr w14:paraId="72546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8" w:hRule="atLeast"/>
        </w:trPr>
        <w:tc>
          <w:tcPr>
            <w:tcW w:w="842" w:type="dxa"/>
            <w:tcBorders>
              <w:top w:val="single" w:color="auto" w:sz="4" w:space="0"/>
            </w:tcBorders>
            <w:vAlign w:val="center"/>
          </w:tcPr>
          <w:p w14:paraId="5867FD55">
            <w:pPr>
              <w:adjustRightInd w:val="0"/>
              <w:spacing w:line="400" w:lineRule="exact"/>
              <w:jc w:val="center"/>
              <w:textAlignment w:val="baseline"/>
              <w:rPr>
                <w:rFonts w:ascii="Times New Roman" w:hAnsi="Times New Roman" w:cs="宋体"/>
                <w:b/>
                <w:bCs/>
                <w:szCs w:val="21"/>
              </w:rPr>
            </w:pPr>
            <w:r>
              <w:rPr>
                <w:rFonts w:ascii="Times New Roman" w:hAnsi="Times New Roman" w:cs="宋体"/>
                <w:b/>
                <w:bCs/>
                <w:szCs w:val="21"/>
              </w:rPr>
              <w:t>3</w:t>
            </w:r>
          </w:p>
        </w:tc>
        <w:tc>
          <w:tcPr>
            <w:tcW w:w="1853" w:type="dxa"/>
            <w:tcBorders>
              <w:top w:val="single" w:color="auto" w:sz="4" w:space="0"/>
            </w:tcBorders>
            <w:vAlign w:val="center"/>
          </w:tcPr>
          <w:p w14:paraId="1325A317">
            <w:pPr>
              <w:adjustRightInd w:val="0"/>
              <w:spacing w:line="400" w:lineRule="exact"/>
              <w:jc w:val="center"/>
              <w:textAlignment w:val="baseline"/>
              <w:rPr>
                <w:rFonts w:ascii="Times New Roman" w:hAnsi="Times New Roman" w:cs="宋体"/>
                <w:b/>
                <w:bCs/>
                <w:szCs w:val="21"/>
              </w:rPr>
            </w:pPr>
            <w:r>
              <w:rPr>
                <w:rFonts w:hint="eastAsia" w:ascii="Times New Roman" w:hAnsi="Times New Roman" w:cs="宋体"/>
                <w:b/>
                <w:bCs/>
                <w:szCs w:val="21"/>
              </w:rPr>
              <w:t>商务部分</w:t>
            </w:r>
          </w:p>
          <w:p w14:paraId="77E6C0F6">
            <w:pPr>
              <w:adjustRightInd w:val="0"/>
              <w:spacing w:line="400" w:lineRule="exact"/>
              <w:jc w:val="center"/>
              <w:textAlignment w:val="baseline"/>
              <w:rPr>
                <w:rFonts w:ascii="Times New Roman" w:hAnsi="Times New Roman" w:cs="宋体"/>
                <w:b/>
                <w:bCs/>
                <w:szCs w:val="21"/>
              </w:rPr>
            </w:pPr>
            <w:r>
              <w:rPr>
                <w:rFonts w:hint="eastAsia" w:ascii="Times New Roman" w:hAnsi="Times New Roman" w:cs="宋体"/>
                <w:b/>
                <w:bCs/>
                <w:szCs w:val="21"/>
              </w:rPr>
              <w:t xml:space="preserve">（满分 </w:t>
            </w:r>
            <w:r>
              <w:rPr>
                <w:rFonts w:hint="eastAsia" w:ascii="Times New Roman" w:hAnsi="Times New Roman" w:cs="宋体"/>
                <w:b/>
                <w:bCs/>
                <w:szCs w:val="21"/>
                <w:lang w:val="en-US" w:eastAsia="zh-CN"/>
              </w:rPr>
              <w:t>25</w:t>
            </w:r>
            <w:r>
              <w:rPr>
                <w:rFonts w:hint="eastAsia" w:ascii="Times New Roman" w:hAnsi="Times New Roman" w:cs="宋体"/>
                <w:b/>
                <w:bCs/>
                <w:szCs w:val="21"/>
              </w:rPr>
              <w:t xml:space="preserve"> 分）</w:t>
            </w:r>
          </w:p>
        </w:tc>
        <w:tc>
          <w:tcPr>
            <w:tcW w:w="5824" w:type="dxa"/>
            <w:gridSpan w:val="2"/>
            <w:vAlign w:val="center"/>
          </w:tcPr>
          <w:p w14:paraId="3E09A273">
            <w:pPr>
              <w:widowControl/>
              <w:spacing w:line="400" w:lineRule="exact"/>
              <w:jc w:val="center"/>
              <w:textAlignment w:val="top"/>
              <w:rPr>
                <w:rFonts w:hint="eastAsia" w:ascii="Times New Roman" w:hAnsi="Times New Roman" w:eastAsia="宋体" w:cs="宋体"/>
                <w:b w:val="0"/>
                <w:bCs w:val="0"/>
                <w:szCs w:val="21"/>
              </w:rPr>
            </w:pPr>
            <w:r>
              <w:rPr>
                <w:rFonts w:hint="eastAsia" w:ascii="Times New Roman" w:hAnsi="Times New Roman" w:eastAsia="宋体" w:cs="宋体"/>
                <w:b/>
                <w:szCs w:val="21"/>
              </w:rPr>
              <w:t>评分标准</w:t>
            </w:r>
          </w:p>
        </w:tc>
      </w:tr>
      <w:tr w14:paraId="20ECC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trPr>
        <w:tc>
          <w:tcPr>
            <w:tcW w:w="842" w:type="dxa"/>
            <w:vAlign w:val="center"/>
          </w:tcPr>
          <w:p w14:paraId="5F016A6D">
            <w:pPr>
              <w:spacing w:line="400" w:lineRule="exact"/>
              <w:jc w:val="center"/>
              <w:rPr>
                <w:rFonts w:ascii="Times New Roman" w:hAnsi="Times New Roman" w:cs="宋体"/>
                <w:b/>
                <w:szCs w:val="21"/>
              </w:rPr>
            </w:pPr>
            <w:r>
              <w:rPr>
                <w:rFonts w:ascii="Times New Roman" w:hAnsi="Times New Roman" w:cs="宋体"/>
                <w:b/>
                <w:szCs w:val="21"/>
              </w:rPr>
              <w:t>3.1</w:t>
            </w:r>
          </w:p>
        </w:tc>
        <w:tc>
          <w:tcPr>
            <w:tcW w:w="1853" w:type="dxa"/>
            <w:vAlign w:val="center"/>
          </w:tcPr>
          <w:p w14:paraId="4E6E6DA4">
            <w:pPr>
              <w:spacing w:line="400" w:lineRule="exact"/>
              <w:jc w:val="center"/>
              <w:rPr>
                <w:rFonts w:ascii="Times New Roman" w:hAnsi="Times New Roman" w:cs="宋体"/>
                <w:b/>
                <w:szCs w:val="21"/>
              </w:rPr>
            </w:pPr>
            <w:r>
              <w:rPr>
                <w:rFonts w:hint="eastAsia" w:ascii="Times New Roman" w:hAnsi="Times New Roman" w:cs="宋体"/>
                <w:b/>
                <w:szCs w:val="21"/>
              </w:rPr>
              <w:t>项目业绩</w:t>
            </w:r>
          </w:p>
          <w:p w14:paraId="51F4E889">
            <w:pPr>
              <w:spacing w:line="400" w:lineRule="exact"/>
              <w:jc w:val="center"/>
              <w:rPr>
                <w:rFonts w:ascii="Times New Roman" w:hAnsi="Times New Roman" w:cs="宋体"/>
                <w:b/>
                <w:bCs/>
                <w:szCs w:val="21"/>
              </w:rPr>
            </w:pPr>
            <w:r>
              <w:rPr>
                <w:rFonts w:hint="eastAsia" w:ascii="Times New Roman" w:hAnsi="Times New Roman" w:cs="宋体"/>
                <w:b/>
                <w:szCs w:val="21"/>
              </w:rPr>
              <w:t>（满分</w:t>
            </w:r>
            <w:r>
              <w:rPr>
                <w:rFonts w:hint="eastAsia" w:ascii="Times New Roman" w:hAnsi="Times New Roman" w:cs="宋体"/>
                <w:b/>
                <w:szCs w:val="21"/>
                <w:lang w:val="en-US" w:eastAsia="zh-CN"/>
              </w:rPr>
              <w:t>16</w:t>
            </w:r>
            <w:r>
              <w:rPr>
                <w:rFonts w:hint="eastAsia" w:ascii="Times New Roman" w:hAnsi="Times New Roman" w:cs="宋体"/>
                <w:b/>
                <w:szCs w:val="21"/>
              </w:rPr>
              <w:t>分）</w:t>
            </w:r>
          </w:p>
        </w:tc>
        <w:tc>
          <w:tcPr>
            <w:tcW w:w="4759" w:type="dxa"/>
          </w:tcPr>
          <w:p w14:paraId="1468AA65">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投标人</w:t>
            </w:r>
            <w:r>
              <w:rPr>
                <w:rFonts w:hint="eastAsia" w:ascii="Times New Roman" w:hAnsi="Times New Roman" w:cs="宋体"/>
                <w:szCs w:val="21"/>
                <w:lang w:val="en-US" w:eastAsia="zh-CN"/>
              </w:rPr>
              <w:t>自2023年1月1日以</w:t>
            </w:r>
            <w:r>
              <w:rPr>
                <w:rFonts w:hint="eastAsia" w:ascii="Times New Roman" w:hAnsi="Times New Roman" w:eastAsia="宋体" w:cs="宋体"/>
                <w:szCs w:val="21"/>
                <w:lang w:val="en-US" w:eastAsia="zh-CN"/>
              </w:rPr>
              <w:t>来</w:t>
            </w:r>
            <w:r>
              <w:rPr>
                <w:rFonts w:hint="eastAsia" w:ascii="Times New Roman" w:hAnsi="Times New Roman" w:eastAsia="宋体" w:cs="宋体"/>
                <w:szCs w:val="21"/>
              </w:rPr>
              <w:t>在中华人民共和国境内完成过人工智能或科技类赛事运营、产业活动组织、成果转化对接等同类项目，需提供合同关键页（首页、标的页、签字盖章页等）原件备查，框架合同需配套订单：</w:t>
            </w:r>
          </w:p>
          <w:p w14:paraId="2C95E721">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（1）每提供 1 个符合要求的同类项目业绩得</w:t>
            </w:r>
            <w:r>
              <w:rPr>
                <w:rFonts w:hint="eastAsia" w:ascii="Times New Roman" w:hAnsi="Times New Roman" w:eastAsia="宋体" w:cs="宋体"/>
                <w:szCs w:val="21"/>
                <w:lang w:val="en-US" w:eastAsia="zh-CN"/>
              </w:rPr>
              <w:t>4</w:t>
            </w:r>
            <w:r>
              <w:rPr>
                <w:rFonts w:hint="eastAsia" w:ascii="Times New Roman" w:hAnsi="Times New Roman" w:eastAsia="宋体" w:cs="宋体"/>
                <w:szCs w:val="21"/>
              </w:rPr>
              <w:t xml:space="preserve">分，最高得 </w:t>
            </w:r>
            <w:r>
              <w:rPr>
                <w:rFonts w:hint="eastAsia" w:ascii="Times New Roman" w:hAnsi="Times New Roman" w:cs="宋体"/>
                <w:szCs w:val="21"/>
                <w:lang w:val="en-US" w:eastAsia="zh-CN"/>
              </w:rPr>
              <w:t>16</w:t>
            </w:r>
            <w:r>
              <w:rPr>
                <w:rFonts w:hint="eastAsia" w:ascii="Times New Roman" w:hAnsi="Times New Roman" w:eastAsia="宋体" w:cs="宋体"/>
                <w:szCs w:val="21"/>
              </w:rPr>
              <w:t xml:space="preserve"> 分；</w:t>
            </w:r>
          </w:p>
          <w:p w14:paraId="355D11F7">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（2）无符合要求的业绩，得 0 分。</w:t>
            </w:r>
          </w:p>
        </w:tc>
        <w:tc>
          <w:tcPr>
            <w:tcW w:w="1065" w:type="dxa"/>
            <w:vAlign w:val="center"/>
          </w:tcPr>
          <w:p w14:paraId="5D7DF76A">
            <w:pPr>
              <w:widowControl/>
              <w:spacing w:line="400" w:lineRule="exact"/>
              <w:jc w:val="center"/>
              <w:rPr>
                <w:rFonts w:ascii="Times New Roman" w:hAnsi="Times New Roman" w:cs="宋体"/>
                <w:b/>
                <w:szCs w:val="21"/>
              </w:rPr>
            </w:pPr>
            <w:r>
              <w:rPr>
                <w:rFonts w:hint="eastAsia" w:ascii="Times New Roman" w:hAnsi="Times New Roman" w:cs="宋体"/>
                <w:b/>
                <w:szCs w:val="21"/>
                <w:lang w:val="en-US" w:eastAsia="zh-CN"/>
              </w:rPr>
              <w:t>16</w:t>
            </w:r>
            <w:r>
              <w:rPr>
                <w:rFonts w:hint="eastAsia" w:ascii="Times New Roman" w:hAnsi="Times New Roman" w:cs="宋体"/>
                <w:b/>
                <w:szCs w:val="21"/>
              </w:rPr>
              <w:t>分</w:t>
            </w:r>
          </w:p>
        </w:tc>
      </w:tr>
      <w:tr w14:paraId="0C7F7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trPr>
        <w:tc>
          <w:tcPr>
            <w:tcW w:w="842" w:type="dxa"/>
            <w:vAlign w:val="center"/>
          </w:tcPr>
          <w:p w14:paraId="2BFDA3F4">
            <w:pPr>
              <w:spacing w:line="400" w:lineRule="exact"/>
              <w:jc w:val="center"/>
              <w:rPr>
                <w:rFonts w:hint="default" w:ascii="Times New Roman" w:hAnsi="Times New Roman" w:eastAsia="宋体" w:cs="宋体"/>
                <w:b/>
                <w:szCs w:val="21"/>
                <w:lang w:val="en-US" w:eastAsia="zh-CN"/>
              </w:rPr>
            </w:pPr>
            <w:r>
              <w:rPr>
                <w:rFonts w:ascii="Times New Roman" w:hAnsi="Times New Roman" w:cs="宋体"/>
                <w:b/>
                <w:szCs w:val="21"/>
              </w:rPr>
              <w:t>3.2</w:t>
            </w:r>
          </w:p>
        </w:tc>
        <w:tc>
          <w:tcPr>
            <w:tcW w:w="1853" w:type="dxa"/>
            <w:vAlign w:val="center"/>
          </w:tcPr>
          <w:p w14:paraId="204A2022">
            <w:pPr>
              <w:spacing w:line="400" w:lineRule="exact"/>
              <w:jc w:val="center"/>
              <w:rPr>
                <w:rFonts w:ascii="Times New Roman" w:hAnsi="Times New Roman" w:cs="宋体"/>
                <w:b/>
                <w:szCs w:val="21"/>
              </w:rPr>
            </w:pPr>
            <w:r>
              <w:rPr>
                <w:rFonts w:hint="eastAsia" w:ascii="Times New Roman" w:hAnsi="Times New Roman" w:cs="宋体"/>
                <w:b/>
                <w:szCs w:val="21"/>
              </w:rPr>
              <w:t>企业资质与体系认证</w:t>
            </w:r>
          </w:p>
          <w:p w14:paraId="72A0B6C3">
            <w:pPr>
              <w:pStyle w:val="5"/>
              <w:rPr>
                <w:rFonts w:hint="eastAsia" w:ascii="Times New Roman" w:hAnsi="Times New Roman" w:cs="宋体"/>
                <w:b/>
                <w:szCs w:val="21"/>
              </w:rPr>
            </w:pPr>
            <w:r>
              <w:rPr>
                <w:rFonts w:hint="eastAsia" w:ascii="Times New Roman" w:hAnsi="Times New Roman" w:eastAsia="宋体" w:cs="宋体"/>
                <w:b/>
                <w:sz w:val="21"/>
                <w:szCs w:val="21"/>
              </w:rPr>
              <w:t>（满分</w:t>
            </w:r>
            <w:r>
              <w:rPr>
                <w:rFonts w:hint="eastAsia" w:ascii="Times New Roman" w:hAnsi="Times New Roman" w:eastAsia="宋体" w:cs="宋体"/>
                <w:b/>
                <w:sz w:val="21"/>
                <w:szCs w:val="21"/>
                <w:lang w:val="en-US" w:eastAsia="zh-CN"/>
              </w:rPr>
              <w:t>9</w:t>
            </w:r>
            <w:r>
              <w:rPr>
                <w:rFonts w:hint="eastAsia" w:ascii="Times New Roman" w:hAnsi="Times New Roman" w:eastAsia="宋体" w:cs="宋体"/>
                <w:b/>
                <w:sz w:val="21"/>
                <w:szCs w:val="21"/>
              </w:rPr>
              <w:t>分）</w:t>
            </w:r>
          </w:p>
        </w:tc>
        <w:tc>
          <w:tcPr>
            <w:tcW w:w="4759" w:type="dxa"/>
            <w:vAlign w:val="top"/>
          </w:tcPr>
          <w:p w14:paraId="6A30DEDD">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投标人企业具备以下体系认证资质的，须提供有效期内的证书扫描件，并提供原件备查：</w:t>
            </w:r>
          </w:p>
          <w:p w14:paraId="397BA1A9">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（1）具备质量管理能力(如IS09001系列)，得</w:t>
            </w:r>
            <w:r>
              <w:rPr>
                <w:rFonts w:hint="default" w:ascii="Times New Roman" w:hAnsi="Times New Roman" w:cs="宋体"/>
                <w:szCs w:val="21"/>
                <w:lang w:val="en-US" w:eastAsia="zh-CN"/>
              </w:rPr>
              <w:t>3</w:t>
            </w:r>
            <w:r>
              <w:rPr>
                <w:rFonts w:hint="eastAsia" w:ascii="Times New Roman" w:hAnsi="Times New Roman" w:eastAsia="宋体" w:cs="宋体"/>
                <w:szCs w:val="21"/>
              </w:rPr>
              <w:t>分；</w:t>
            </w:r>
          </w:p>
          <w:p w14:paraId="43C8B908">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（2）具备信息技术服务管理能力(如ISO20000系列)，得</w:t>
            </w:r>
            <w:r>
              <w:rPr>
                <w:rFonts w:hint="eastAsia" w:ascii="Times New Roman" w:hAnsi="Times New Roman" w:cs="宋体"/>
                <w:szCs w:val="21"/>
                <w:lang w:val="en-US" w:eastAsia="zh-CN"/>
              </w:rPr>
              <w:t>3</w:t>
            </w:r>
            <w:r>
              <w:rPr>
                <w:rFonts w:hint="eastAsia" w:ascii="Times New Roman" w:hAnsi="Times New Roman" w:eastAsia="宋体" w:cs="宋体"/>
                <w:szCs w:val="21"/>
              </w:rPr>
              <w:t>分；</w:t>
            </w:r>
          </w:p>
          <w:p w14:paraId="17E1C507">
            <w:pPr>
              <w:widowControl/>
              <w:spacing w:line="400" w:lineRule="exact"/>
              <w:jc w:val="left"/>
              <w:textAlignment w:val="center"/>
              <w:rPr>
                <w:rFonts w:hint="eastAsia" w:ascii="Times New Roman" w:hAnsi="Times New Roman" w:eastAsia="宋体" w:cs="宋体"/>
                <w:szCs w:val="21"/>
              </w:rPr>
            </w:pPr>
            <w:r>
              <w:rPr>
                <w:rFonts w:hint="eastAsia" w:ascii="Times New Roman" w:hAnsi="Times New Roman" w:eastAsia="宋体" w:cs="宋体"/>
                <w:szCs w:val="21"/>
              </w:rPr>
              <w:t>（3）具备信息安全管理能力(如ISO27001系列)，得</w:t>
            </w:r>
            <w:r>
              <w:rPr>
                <w:rFonts w:hint="eastAsia" w:ascii="Times New Roman" w:hAnsi="Times New Roman" w:cs="宋体"/>
                <w:szCs w:val="21"/>
                <w:lang w:val="en-US" w:eastAsia="zh-CN"/>
              </w:rPr>
              <w:t>3</w:t>
            </w:r>
            <w:r>
              <w:rPr>
                <w:rFonts w:hint="eastAsia" w:ascii="Times New Roman" w:hAnsi="Times New Roman" w:eastAsia="宋体" w:cs="宋体"/>
                <w:szCs w:val="21"/>
              </w:rPr>
              <w:t>分。</w:t>
            </w:r>
          </w:p>
        </w:tc>
        <w:tc>
          <w:tcPr>
            <w:tcW w:w="1065" w:type="dxa"/>
            <w:vAlign w:val="center"/>
          </w:tcPr>
          <w:p w14:paraId="24CB98B3">
            <w:pPr>
              <w:widowControl/>
              <w:spacing w:line="400" w:lineRule="exact"/>
              <w:jc w:val="center"/>
              <w:rPr>
                <w:rFonts w:ascii="Times New Roman" w:hAnsi="Times New Roman" w:cs="宋体"/>
                <w:b/>
                <w:szCs w:val="21"/>
              </w:rPr>
            </w:pPr>
            <w:r>
              <w:rPr>
                <w:rFonts w:hint="eastAsia" w:ascii="Times New Roman" w:hAnsi="Times New Roman" w:cs="宋体"/>
                <w:b/>
                <w:szCs w:val="21"/>
                <w:lang w:val="en-US" w:eastAsia="zh-CN"/>
              </w:rPr>
              <w:t>9</w:t>
            </w:r>
            <w:r>
              <w:rPr>
                <w:rFonts w:hint="eastAsia" w:ascii="Times New Roman" w:hAnsi="Times New Roman" w:cs="宋体"/>
                <w:b/>
                <w:szCs w:val="21"/>
              </w:rPr>
              <w:t>分</w:t>
            </w:r>
          </w:p>
        </w:tc>
      </w:tr>
    </w:tbl>
    <w:p w14:paraId="5D76AAB9">
      <w:pPr>
        <w:rPr>
          <w:rFonts w:hint="eastAsia" w:ascii="仿宋_GB2312" w:hAnsi="仿宋_GB2312" w:eastAsia="仿宋_GB2312" w:cs="仿宋_GB2312"/>
          <w:sz w:val="32"/>
          <w:szCs w:val="40"/>
        </w:rPr>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0"/>
    <w:family w:val="auto"/>
    <w:pitch w:val="default"/>
    <w:sig w:usb0="E0000AFF" w:usb1="00007843" w:usb2="00000001" w:usb3="00000000" w:csb0="400001BF" w:csb1="DFF70000"/>
    <w:embedRegular r:id="rId1" w:fontKey="{06FF7FD0-2C84-5AFA-1250-FC69692C9158}"/>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E50002FF" w:usb1="500079DB" w:usb2="00000010" w:usb3="00000000" w:csb0="00000000" w:csb1="00000000"/>
  </w:font>
  <w:font w:name="汉仪书宋二KW">
    <w:panose1 w:val="00020600040101010101"/>
    <w:charset w:val="86"/>
    <w:family w:val="auto"/>
    <w:pitch w:val="default"/>
    <w:sig w:usb0="A00002BF" w:usb1="18EF7CFA" w:usb2="00000016" w:usb3="00000000" w:csb0="00040000" w:csb1="00000000"/>
  </w:font>
  <w:font w:name="仿宋_GB2312">
    <w:panose1 w:val="02010609030101010101"/>
    <w:charset w:val="86"/>
    <w:family w:val="modern"/>
    <w:pitch w:val="default"/>
    <w:sig w:usb0="00000001" w:usb1="080E0000" w:usb2="00000000" w:usb3="00000000" w:csb0="00040000" w:csb1="00000000"/>
    <w:embedRegular r:id="rId2" w:fontKey="{B167BECE-DE46-CAD7-1250-FC697EE8AA1B}"/>
  </w:font>
  <w:font w:name="微软雅黑">
    <w:altName w:val="汉仪旗黑"/>
    <w:panose1 w:val="020B0503020204020204"/>
    <w:charset w:val="86"/>
    <w:family w:val="swiss"/>
    <w:pitch w:val="default"/>
    <w:sig w:usb0="00000000" w:usb1="00000000" w:usb2="00000016" w:usb3="00000000" w:csb0="0004001F" w:csb1="00000000"/>
  </w:font>
  <w:font w:name="汉仪旗黑">
    <w:panose1 w:val="00020600040101010101"/>
    <w:charset w:val="86"/>
    <w:family w:val="auto"/>
    <w:pitch w:val="default"/>
    <w:sig w:usb0="A00002BF" w:usb1="1ACF7CFA" w:usb2="00000016" w:usb3="00000000" w:csb0="0004009F" w:csb1="DFD70000"/>
  </w:font>
  <w:font w:name="Cambria">
    <w:altName w:val="苹方-简"/>
    <w:panose1 w:val="02040503050406030204"/>
    <w:charset w:val="00"/>
    <w:family w:val="roman"/>
    <w:pitch w:val="default"/>
    <w:sig w:usb0="00000000" w:usb1="00000000" w:usb2="02000000" w:usb3="00000000" w:csb0="2000019F" w:csb1="00000000"/>
  </w:font>
  <w:font w:name="苹方-简">
    <w:panose1 w:val="020B0400000000000000"/>
    <w:charset w:val="86"/>
    <w:family w:val="auto"/>
    <w:pitch w:val="default"/>
    <w:sig w:usb0="A00002FF" w:usb1="7ACFFDFB" w:usb2="00000017" w:usb3="00000000" w:csb0="00040001" w:csb1="00000000"/>
  </w:font>
  <w:font w:name="方正黑体_GBK">
    <w:panose1 w:val="02010600010101010101"/>
    <w:charset w:val="86"/>
    <w:family w:val="auto"/>
    <w:pitch w:val="default"/>
    <w:sig w:usb0="00000001" w:usb1="080E0000" w:usb2="00000000" w:usb3="00000000" w:csb0="00040000" w:csb1="00000000"/>
    <w:embedRegular r:id="rId3" w:fontKey="{A5779FA8-3B78-0F37-1250-FC69BD550190}"/>
  </w:font>
  <w:font w:name="Arial Unicode MS">
    <w:panose1 w:val="020B0604020202020204"/>
    <w:charset w:val="86"/>
    <w:family w:val="auto"/>
    <w:pitch w:val="default"/>
    <w:sig w:usb0="FFFFFFFF" w:usb1="E9FFFFFF" w:usb2="0000003F" w:usb3="00000000" w:csb0="603F01FF" w:csb1="FFFF0000"/>
    <w:embedRegular r:id="rId4" w:fontKey="{68131DF1-07F7-8312-1250-FC69BC0E06AA}"/>
  </w:font>
  <w:font w:name="汉仪中黑KW">
    <w:panose1 w:val="00020600040101010101"/>
    <w:charset w:val="86"/>
    <w:family w:val="auto"/>
    <w:pitch w:val="default"/>
    <w:sig w:usb0="A00002BF" w:usb1="18EF7CFA" w:usb2="00000016" w:usb3="00000000" w:csb0="00040000" w:csb1="00000000"/>
  </w:font>
  <w:font w:name="仿宋">
    <w:altName w:val="仿宋-简"/>
    <w:panose1 w:val="02010609060101010101"/>
    <w:charset w:val="86"/>
    <w:family w:val="auto"/>
    <w:pitch w:val="default"/>
    <w:sig w:usb0="00000000" w:usb1="00000000" w:usb2="00000016" w:usb3="00000000" w:csb0="00040001" w:csb1="00000000"/>
  </w:font>
  <w:font w:name="仿宋-简">
    <w:panose1 w:val="02010609060101010101"/>
    <w:charset w:val="86"/>
    <w:family w:val="auto"/>
    <w:pitch w:val="default"/>
    <w:sig w:usb0="A00002BF" w:usb1="3ACF7CFA" w:usb2="00000016" w:usb3="00000000" w:csb0="00040001" w:csb1="00000000"/>
  </w:font>
  <w:font w:name="楷体">
    <w:altName w:val="汉仪楷体KW"/>
    <w:panose1 w:val="02010609060101010101"/>
    <w:charset w:val="86"/>
    <w:family w:val="modern"/>
    <w:pitch w:val="default"/>
    <w:sig w:usb0="00000000" w:usb1="00000000" w:usb2="00000016" w:usb3="00000000" w:csb0="00040001" w:csb1="00000000"/>
  </w:font>
  <w:font w:name="汉仪楷体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宋体-简">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98CA9B">
    <w:pPr>
      <w:pStyle w:val="8"/>
    </w:pP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0938F6">
                          <w:pPr>
                            <w:pStyle w:val="8"/>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1</w:t>
                          </w:r>
                          <w:r>
                            <w:rPr>
                              <w:rFonts w:ascii="Times New Roman" w:hAnsi="Times New Roman"/>
                              <w:sz w:val="28"/>
                              <w:szCs w:val="28"/>
                            </w:rPr>
                            <w:fldChar w:fldCharType="end"/>
                          </w:r>
                          <w:r>
                            <w:rPr>
                              <w:rFonts w:ascii="Times New Roman" w:hAnsi="Times New Roman"/>
                              <w:sz w:val="28"/>
                              <w:szCs w:val="28"/>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140938F6">
                    <w:pPr>
                      <w:pStyle w:val="8"/>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fldChar w:fldCharType="begin"/>
                    </w:r>
                    <w:r>
                      <w:rPr>
                        <w:rFonts w:ascii="Times New Roman" w:hAnsi="Times New Roman"/>
                        <w:sz w:val="28"/>
                        <w:szCs w:val="28"/>
                      </w:rPr>
                      <w:instrText xml:space="preserve"> PAGE  \* MERGEFORMAT </w:instrText>
                    </w:r>
                    <w:r>
                      <w:rPr>
                        <w:rFonts w:ascii="Times New Roman" w:hAnsi="Times New Roman"/>
                        <w:sz w:val="28"/>
                        <w:szCs w:val="28"/>
                      </w:rPr>
                      <w:fldChar w:fldCharType="separate"/>
                    </w:r>
                    <w:r>
                      <w:rPr>
                        <w:rFonts w:ascii="Times New Roman" w:hAnsi="Times New Roman"/>
                        <w:sz w:val="28"/>
                        <w:szCs w:val="28"/>
                      </w:rPr>
                      <w:t>1</w:t>
                    </w:r>
                    <w:r>
                      <w:rPr>
                        <w:rFonts w:ascii="Times New Roman" w:hAnsi="Times New Roman"/>
                        <w:sz w:val="28"/>
                        <w:szCs w:val="28"/>
                      </w:rPr>
                      <w:fldChar w:fldCharType="end"/>
                    </w:r>
                    <w:r>
                      <w:rPr>
                        <w:rFonts w:ascii="Times New Roman" w:hAnsi="Times New Roman"/>
                        <w:sz w:val="28"/>
                        <w:szCs w:val="28"/>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1661DF1"/>
    <w:multiLevelType w:val="multilevel"/>
    <w:tmpl w:val="71661DF1"/>
    <w:lvl w:ilvl="0" w:tentative="0">
      <w:start w:val="1"/>
      <w:numFmt w:val="decimal"/>
      <w:lvlText w:val="%1"/>
      <w:lvlJc w:val="left"/>
      <w:pPr>
        <w:tabs>
          <w:tab w:val="left" w:pos="432"/>
        </w:tabs>
        <w:ind w:left="432" w:hanging="432"/>
      </w:pPr>
    </w:lvl>
    <w:lvl w:ilvl="1" w:tentative="0">
      <w:start w:val="1"/>
      <w:numFmt w:val="decimal"/>
      <w:lvlText w:val="%1.%2"/>
      <w:lvlJc w:val="left"/>
      <w:pPr>
        <w:tabs>
          <w:tab w:val="left" w:pos="756"/>
        </w:tabs>
        <w:ind w:left="756" w:hanging="576"/>
      </w:pPr>
    </w:lvl>
    <w:lvl w:ilvl="2" w:tentative="0">
      <w:start w:val="1"/>
      <w:numFmt w:val="decimal"/>
      <w:lvlText w:val="%1.%2.%3"/>
      <w:lvlJc w:val="left"/>
      <w:pPr>
        <w:tabs>
          <w:tab w:val="left" w:pos="1004"/>
        </w:tabs>
        <w:ind w:left="1004" w:hanging="720"/>
      </w:pPr>
    </w:lvl>
    <w:lvl w:ilvl="3" w:tentative="0">
      <w:start w:val="1"/>
      <w:numFmt w:val="decimal"/>
      <w:pStyle w:val="2"/>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4"/>
  <w:doNotDisplayPageBoundaries w:val="1"/>
  <w:embedTrueTypeFonts/>
  <w:saveSubsetFonts/>
  <w:bordersDoNotSurroundHeader w:val="0"/>
  <w:bordersDoNotSurroundFooter w:val="0"/>
  <w:trackRevisions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U3MGI2MjM3NGRhMDVmOWNlMTY0YmViMDg3OTE1ZjkifQ=="/>
  </w:docVars>
  <w:rsids>
    <w:rsidRoot w:val="004E6618"/>
    <w:rsid w:val="00227BE0"/>
    <w:rsid w:val="002E0D2E"/>
    <w:rsid w:val="00461AAE"/>
    <w:rsid w:val="004E6618"/>
    <w:rsid w:val="006A4A0C"/>
    <w:rsid w:val="00712DE2"/>
    <w:rsid w:val="00734A57"/>
    <w:rsid w:val="00A71DBF"/>
    <w:rsid w:val="00AD3E2F"/>
    <w:rsid w:val="00B77C75"/>
    <w:rsid w:val="00C91C98"/>
    <w:rsid w:val="028B20FB"/>
    <w:rsid w:val="03193E48"/>
    <w:rsid w:val="089A6EC6"/>
    <w:rsid w:val="0E9D6C3E"/>
    <w:rsid w:val="12523C22"/>
    <w:rsid w:val="14A17F4C"/>
    <w:rsid w:val="14F62981"/>
    <w:rsid w:val="18EA0687"/>
    <w:rsid w:val="19031FC9"/>
    <w:rsid w:val="1B052057"/>
    <w:rsid w:val="1E6B328F"/>
    <w:rsid w:val="1E990AA4"/>
    <w:rsid w:val="1FBF198F"/>
    <w:rsid w:val="2C964C73"/>
    <w:rsid w:val="2D18639E"/>
    <w:rsid w:val="2FB17F56"/>
    <w:rsid w:val="34EE2F66"/>
    <w:rsid w:val="3538296D"/>
    <w:rsid w:val="353D7F83"/>
    <w:rsid w:val="35AC27CE"/>
    <w:rsid w:val="367B6FB5"/>
    <w:rsid w:val="377D0B0B"/>
    <w:rsid w:val="3834946F"/>
    <w:rsid w:val="3A8337E0"/>
    <w:rsid w:val="3DA14D12"/>
    <w:rsid w:val="4171348E"/>
    <w:rsid w:val="43771B66"/>
    <w:rsid w:val="446138F4"/>
    <w:rsid w:val="47D75DBD"/>
    <w:rsid w:val="493967AB"/>
    <w:rsid w:val="4A4E6A63"/>
    <w:rsid w:val="4B5F628F"/>
    <w:rsid w:val="4C716A38"/>
    <w:rsid w:val="4DDBC26C"/>
    <w:rsid w:val="4ECA68D4"/>
    <w:rsid w:val="4F7FE7B3"/>
    <w:rsid w:val="4FD712A8"/>
    <w:rsid w:val="52734B8D"/>
    <w:rsid w:val="542E16B3"/>
    <w:rsid w:val="54667951"/>
    <w:rsid w:val="551B318C"/>
    <w:rsid w:val="56170780"/>
    <w:rsid w:val="58240E03"/>
    <w:rsid w:val="584A71EA"/>
    <w:rsid w:val="589C3889"/>
    <w:rsid w:val="59D95E81"/>
    <w:rsid w:val="5A673DBD"/>
    <w:rsid w:val="5E3A3003"/>
    <w:rsid w:val="5F0F1B0E"/>
    <w:rsid w:val="5FDF14C4"/>
    <w:rsid w:val="5FE3D6F0"/>
    <w:rsid w:val="623D6CC3"/>
    <w:rsid w:val="62AF27F7"/>
    <w:rsid w:val="63502D17"/>
    <w:rsid w:val="63646522"/>
    <w:rsid w:val="64355180"/>
    <w:rsid w:val="64B81BAF"/>
    <w:rsid w:val="69F24BF3"/>
    <w:rsid w:val="6CB5251A"/>
    <w:rsid w:val="6DEC3E30"/>
    <w:rsid w:val="6F4656AB"/>
    <w:rsid w:val="6FEDAEB9"/>
    <w:rsid w:val="6FEF72FC"/>
    <w:rsid w:val="710D1D50"/>
    <w:rsid w:val="74011985"/>
    <w:rsid w:val="75772547"/>
    <w:rsid w:val="76B33626"/>
    <w:rsid w:val="77EE2F7F"/>
    <w:rsid w:val="78444423"/>
    <w:rsid w:val="7B03252A"/>
    <w:rsid w:val="7B20259D"/>
    <w:rsid w:val="7DCF9358"/>
    <w:rsid w:val="7E7FC5F4"/>
    <w:rsid w:val="7F7F4797"/>
    <w:rsid w:val="7FC26438"/>
    <w:rsid w:val="B3F7AA2E"/>
    <w:rsid w:val="BFEDB457"/>
    <w:rsid w:val="DF35012A"/>
    <w:rsid w:val="DFCFEC97"/>
    <w:rsid w:val="E1FF8091"/>
    <w:rsid w:val="EDDDC030"/>
    <w:rsid w:val="F1AD3A01"/>
    <w:rsid w:val="F1FD06DD"/>
    <w:rsid w:val="F7CFECF9"/>
    <w:rsid w:val="F7F89B92"/>
    <w:rsid w:val="F9A4DDD1"/>
    <w:rsid w:val="FBDFAD3C"/>
    <w:rsid w:val="FDFF4CA4"/>
    <w:rsid w:val="FEF65A32"/>
    <w:rsid w:val="FF4E8A22"/>
    <w:rsid w:val="FFDF9B1E"/>
    <w:rsid w:val="FFEDD1A9"/>
    <w:rsid w:val="FFFBE3B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4"/>
    <w:basedOn w:val="1"/>
    <w:next w:val="1"/>
    <w:qFormat/>
    <w:uiPriority w:val="0"/>
    <w:pPr>
      <w:keepNext/>
      <w:keepLines/>
      <w:numPr>
        <w:ilvl w:val="3"/>
        <w:numId w:val="1"/>
      </w:numPr>
      <w:adjustRightInd w:val="0"/>
      <w:snapToGrid w:val="0"/>
      <w:spacing w:beforeLines="50" w:line="360" w:lineRule="auto"/>
      <w:outlineLvl w:val="3"/>
    </w:pPr>
    <w:rPr>
      <w:rFonts w:ascii="仿宋_GB2312" w:eastAsia="仿宋_GB2312"/>
      <w:bCs/>
      <w:kern w:val="0"/>
      <w:sz w:val="24"/>
    </w:rPr>
  </w:style>
  <w:style w:type="character" w:default="1" w:styleId="12">
    <w:name w:val="Default Paragraph Font"/>
    <w:semiHidden/>
    <w:unhideWhenUsed/>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3">
    <w:name w:val="Normal Indent"/>
    <w:next w:val="1"/>
    <w:qFormat/>
    <w:uiPriority w:val="0"/>
    <w:pPr>
      <w:widowControl w:val="0"/>
      <w:spacing w:line="520" w:lineRule="exact"/>
      <w:ind w:firstLine="200" w:firstLineChars="200"/>
      <w:jc w:val="both"/>
    </w:pPr>
    <w:rPr>
      <w:rFonts w:ascii="Calibri" w:hAnsi="Calibri" w:eastAsia="宋体" w:cs="Times New Roman"/>
      <w:kern w:val="2"/>
      <w:sz w:val="28"/>
      <w:szCs w:val="21"/>
      <w:lang w:val="en-US" w:eastAsia="zh-CN" w:bidi="ar-SA"/>
    </w:rPr>
  </w:style>
  <w:style w:type="paragraph" w:styleId="4">
    <w:name w:val="annotation text"/>
    <w:basedOn w:val="1"/>
    <w:link w:val="16"/>
    <w:qFormat/>
    <w:uiPriority w:val="0"/>
    <w:pPr>
      <w:jc w:val="left"/>
    </w:pPr>
  </w:style>
  <w:style w:type="paragraph" w:styleId="5">
    <w:name w:val="Body Text"/>
    <w:basedOn w:val="1"/>
    <w:next w:val="6"/>
    <w:qFormat/>
    <w:uiPriority w:val="0"/>
    <w:pPr>
      <w:jc w:val="center"/>
    </w:pPr>
    <w:rPr>
      <w:rFonts w:eastAsia="微软雅黑"/>
      <w:bCs/>
      <w:spacing w:val="-22"/>
      <w:sz w:val="44"/>
    </w:rPr>
  </w:style>
  <w:style w:type="paragraph" w:styleId="6">
    <w:name w:val="Title"/>
    <w:basedOn w:val="1"/>
    <w:next w:val="1"/>
    <w:qFormat/>
    <w:uiPriority w:val="0"/>
    <w:pPr>
      <w:spacing w:line="590" w:lineRule="exact"/>
      <w:jc w:val="center"/>
      <w:outlineLvl w:val="0"/>
    </w:pPr>
    <w:rPr>
      <w:rFonts w:ascii="Cambria" w:hAnsi="Cambria" w:eastAsia="方正黑体_GBK"/>
      <w:sz w:val="32"/>
      <w:szCs w:val="32"/>
    </w:rPr>
  </w:style>
  <w:style w:type="paragraph" w:styleId="7">
    <w:name w:val="Plain Text"/>
    <w:basedOn w:val="1"/>
    <w:next w:val="2"/>
    <w:qFormat/>
    <w:uiPriority w:val="0"/>
    <w:rPr>
      <w:rFonts w:hAnsi="Courier New"/>
      <w:szCs w:val="20"/>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0">
    <w:name w:val="annotation subject"/>
    <w:basedOn w:val="4"/>
    <w:next w:val="4"/>
    <w:link w:val="17"/>
    <w:qFormat/>
    <w:uiPriority w:val="0"/>
    <w:rPr>
      <w:b/>
      <w:bCs/>
    </w:rPr>
  </w:style>
  <w:style w:type="character" w:styleId="13">
    <w:name w:val="Strong"/>
    <w:basedOn w:val="12"/>
    <w:qFormat/>
    <w:uiPriority w:val="0"/>
    <w:rPr>
      <w:b/>
    </w:rPr>
  </w:style>
  <w:style w:type="character" w:styleId="14">
    <w:name w:val="annotation reference"/>
    <w:basedOn w:val="12"/>
    <w:qFormat/>
    <w:uiPriority w:val="0"/>
    <w:rPr>
      <w:sz w:val="21"/>
      <w:szCs w:val="21"/>
    </w:rPr>
  </w:style>
  <w:style w:type="paragraph" w:customStyle="1" w:styleId="15">
    <w:name w:val="Revision"/>
    <w:hidden/>
    <w:unhideWhenUsed/>
    <w:qFormat/>
    <w:uiPriority w:val="99"/>
    <w:rPr>
      <w:rFonts w:ascii="Calibri" w:hAnsi="Calibri" w:eastAsia="宋体" w:cs="Times New Roman"/>
      <w:kern w:val="2"/>
      <w:sz w:val="21"/>
      <w:szCs w:val="24"/>
      <w:lang w:val="en-US" w:eastAsia="zh-CN" w:bidi="ar-SA"/>
    </w:rPr>
  </w:style>
  <w:style w:type="character" w:customStyle="1" w:styleId="16">
    <w:name w:val="批注文字 字符"/>
    <w:basedOn w:val="12"/>
    <w:link w:val="4"/>
    <w:qFormat/>
    <w:uiPriority w:val="0"/>
    <w:rPr>
      <w:rFonts w:ascii="Calibri" w:hAnsi="Calibri"/>
      <w:kern w:val="2"/>
      <w:sz w:val="21"/>
      <w:szCs w:val="24"/>
    </w:rPr>
  </w:style>
  <w:style w:type="character" w:customStyle="1" w:styleId="17">
    <w:name w:val="批注主题 字符"/>
    <w:basedOn w:val="16"/>
    <w:link w:val="10"/>
    <w:qFormat/>
    <w:uiPriority w:val="0"/>
    <w:rPr>
      <w:rFonts w:ascii="Calibri" w:hAnsi="Calibri"/>
      <w:b/>
      <w:bCs/>
      <w:kern w:val="2"/>
      <w:sz w:val="21"/>
      <w:szCs w:val="24"/>
    </w:rPr>
  </w:style>
  <w:style w:type="paragraph" w:customStyle="1" w:styleId="18">
    <w:name w:val="表格文字"/>
    <w:basedOn w:val="1"/>
    <w:qFormat/>
    <w:uiPriority w:val="0"/>
    <w:pPr>
      <w:adjustRightInd w:val="0"/>
      <w:spacing w:line="420" w:lineRule="atLeast"/>
      <w:jc w:val="left"/>
      <w:textAlignment w:val="baseline"/>
    </w:pPr>
    <w:rPr>
      <w:rFonts w:ascii="Times New Roman" w:hAnsi="Times New Roman"/>
      <w:kern w:val="0"/>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10</Pages>
  <Words>2388</Words>
  <Characters>2479</Characters>
  <Lines>156</Lines>
  <Paragraphs>149</Paragraphs>
  <TotalTime>0</TotalTime>
  <ScaleCrop>false</ScaleCrop>
  <LinksUpToDate>false</LinksUpToDate>
  <CharactersWithSpaces>2479</CharactersWithSpaces>
  <Application>WPS Office_12.1.25869.25869_F1E327BC-269C-435d-A152-05C5408002CA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2025-07-19T23:54:00Z</dcterms:created>
  <dc:creator>Lenovo</dc:creator>
  <cp:lastModifiedBy>覃士蘅</cp:lastModifiedBy>
  <cp:lastPrinted>2025-07-20T06:29:00Z</cp:lastPrinted>
  <dcterms:modified xsi:type="dcterms:W3CDTF">2026-05-07T16:40:50Z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2052-12.1.25869.25869</vt:lpwstr>
  </property>
  <property fmtid="{D5CDD505-2E9C-101B-9397-08002B2CF9AE}" pid="3" name="KSOTemplateDocerSaveRecord">
    <vt:lpwstr>eyJoZGlkIjoiZTdmNTFlYTU2OTAwNDE2N2QxY2EyZTY4ZDhhMDUxNzQiLCJ1c2VySWQiOiIxNDgzNTQ3NTU2In0=</vt:lpwstr>
  </property>
  <property fmtid="{D5CDD505-2E9C-101B-9397-08002B2CF9AE}" pid="4" name="ICV">
    <vt:lpwstr>1568B465DE673FA0E2D1E669B2F6DC52_43</vt:lpwstr>
  </property>
</Properties>
</file>