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5FA8">
      <w:pPr>
        <w:pStyle w:val="15"/>
        <w:spacing w:after="0" w:line="579" w:lineRule="exact"/>
        <w:jc w:val="left"/>
        <w:rPr>
          <w:rFonts w:hint="eastAsia" w:ascii="黑体" w:hAnsi="黑体" w:eastAsia="黑体" w:cs="黑体"/>
          <w:sz w:val="32"/>
          <w:szCs w:val="32"/>
        </w:rPr>
      </w:pPr>
      <w:bookmarkStart w:id="2" w:name="_GoBack"/>
      <w:bookmarkEnd w:id="2"/>
      <w:r>
        <w:rPr>
          <w:rFonts w:hint="eastAsia" w:ascii="黑体" w:hAnsi="黑体" w:eastAsia="黑体" w:cs="黑体"/>
          <w:sz w:val="32"/>
          <w:szCs w:val="32"/>
        </w:rPr>
        <w:t>附件</w:t>
      </w:r>
    </w:p>
    <w:p w14:paraId="0F639843">
      <w:pPr>
        <w:pStyle w:val="15"/>
        <w:spacing w:after="0" w:line="579" w:lineRule="exact"/>
        <w:jc w:val="left"/>
        <w:rPr>
          <w:rFonts w:hint="eastAsia" w:ascii="黑体" w:hAnsi="黑体" w:eastAsia="黑体" w:cs="黑体"/>
          <w:sz w:val="32"/>
          <w:szCs w:val="32"/>
        </w:rPr>
      </w:pPr>
    </w:p>
    <w:p w14:paraId="7AD4E8ED">
      <w:pPr>
        <w:pStyle w:val="15"/>
        <w:spacing w:after="0" w:line="579" w:lineRule="exact"/>
        <w:jc w:val="center"/>
        <w:rPr>
          <w:rFonts w:hint="eastAsia" w:ascii="方正小标宋_GBK" w:hAnsi="方正小标宋_GBK" w:eastAsia="方正小标宋_GBK" w:cs="方正小标宋_GBK"/>
          <w:sz w:val="44"/>
          <w:szCs w:val="44"/>
          <w:lang w:eastAsia="zh-CN"/>
        </w:rPr>
      </w:pPr>
      <w:r>
        <w:rPr>
          <w:rFonts w:ascii="Times New Roman" w:hAnsi="Times New Roman" w:eastAsia="方正小标宋_GBK" w:cs="Times New Roman"/>
          <w:sz w:val="44"/>
          <w:szCs w:val="44"/>
        </w:rPr>
        <w:t>2026</w:t>
      </w:r>
      <w:r>
        <w:rPr>
          <w:rFonts w:hint="eastAsia"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eastAsia="zh-CN"/>
        </w:rPr>
        <w:t>“</w:t>
      </w:r>
      <w:r>
        <w:rPr>
          <w:rFonts w:hint="eastAsia" w:ascii="方正小标宋_GBK" w:hAnsi="方正小标宋_GBK" w:eastAsia="方正小标宋_GBK" w:cs="方正小标宋_GBK"/>
          <w:sz w:val="44"/>
          <w:szCs w:val="44"/>
        </w:rPr>
        <w:t>人工智能+电竞创新应用大赛</w:t>
      </w:r>
      <w:r>
        <w:rPr>
          <w:rFonts w:hint="eastAsia" w:ascii="方正小标宋_GBK" w:hAnsi="方正小标宋_GBK" w:eastAsia="方正小标宋_GBK" w:cs="方正小标宋_GBK"/>
          <w:sz w:val="44"/>
          <w:szCs w:val="44"/>
          <w:lang w:eastAsia="zh-CN"/>
        </w:rPr>
        <w:t>”</w:t>
      </w:r>
    </w:p>
    <w:p w14:paraId="54F8BAD7">
      <w:pPr>
        <w:pStyle w:val="15"/>
        <w:spacing w:after="0"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实施与服务项目采购方案</w:t>
      </w:r>
    </w:p>
    <w:p w14:paraId="6524B5ED">
      <w:pPr>
        <w:pStyle w:val="15"/>
        <w:spacing w:after="0" w:line="579" w:lineRule="exact"/>
        <w:jc w:val="center"/>
        <w:rPr>
          <w:rFonts w:hint="eastAsia" w:ascii="方正小标宋_GBK" w:hAnsi="方正小标宋_GBK" w:eastAsia="方正小标宋_GBK" w:cs="方正小标宋_GBK"/>
          <w:sz w:val="44"/>
          <w:szCs w:val="44"/>
        </w:rPr>
      </w:pPr>
    </w:p>
    <w:p w14:paraId="4C642D8C">
      <w:pPr>
        <w:pStyle w:val="15"/>
        <w:numPr>
          <w:ilvl w:val="0"/>
          <w:numId w:val="1"/>
        </w:numPr>
        <w:spacing w:after="0" w:line="579" w:lineRule="exact"/>
        <w:ind w:firstLine="640" w:firstLineChars="200"/>
        <w:outlineLvl w:val="0"/>
        <w:rPr>
          <w:rFonts w:hint="eastAsia" w:ascii="方正仿宋_GB2312" w:hAnsi="方正仿宋_GB2312" w:eastAsia="方正仿宋_GB2312" w:cs="方正仿宋_GB2312"/>
          <w:sz w:val="32"/>
          <w:szCs w:val="32"/>
        </w:rPr>
      </w:pPr>
      <w:r>
        <w:rPr>
          <w:rFonts w:hint="eastAsia" w:ascii="方正黑体_GBK" w:hAnsi="方正黑体_GBK" w:eastAsia="方正黑体_GBK" w:cs="方正黑体_GBK"/>
          <w:sz w:val="32"/>
          <w:szCs w:val="32"/>
        </w:rPr>
        <w:t>项目名称：</w:t>
      </w:r>
      <w:r>
        <w:rPr>
          <w:rFonts w:hint="eastAsia" w:ascii="Times New Roman" w:hAnsi="Times New Roman" w:eastAsia="仿宋_GB2312" w:cs="Times New Roman"/>
          <w:sz w:val="32"/>
          <w:szCs w:val="32"/>
        </w:rPr>
        <w:t>2026年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人</w:t>
      </w:r>
      <w:r>
        <w:rPr>
          <w:rFonts w:hint="eastAsia" w:ascii="仿宋_GB2312" w:hAnsi="方正仿宋_GB2312" w:eastAsia="仿宋_GB2312" w:cs="方正仿宋_GB2312"/>
          <w:sz w:val="32"/>
          <w:szCs w:val="32"/>
        </w:rPr>
        <w:t>工智能+电竞创新应用大赛</w:t>
      </w:r>
      <w:r>
        <w:rPr>
          <w:rFonts w:hint="eastAsia" w:ascii="仿宋_GB2312" w:hAnsi="方正仿宋_GB2312" w:eastAsia="仿宋_GB2312" w:cs="方正仿宋_GB2312"/>
          <w:sz w:val="32"/>
          <w:szCs w:val="32"/>
          <w:lang w:eastAsia="zh-CN"/>
        </w:rPr>
        <w:t>”</w:t>
      </w:r>
      <w:r>
        <w:rPr>
          <w:rFonts w:hint="eastAsia" w:ascii="仿宋_GB2312" w:hAnsi="方正仿宋_GB2312" w:eastAsia="仿宋_GB2312" w:cs="方正仿宋_GB2312"/>
          <w:sz w:val="32"/>
          <w:szCs w:val="32"/>
        </w:rPr>
        <w:t>实施与服务项目</w:t>
      </w:r>
    </w:p>
    <w:p w14:paraId="3A3435A4">
      <w:pPr>
        <w:pStyle w:val="15"/>
        <w:numPr>
          <w:ilvl w:val="0"/>
          <w:numId w:val="1"/>
        </w:num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方正黑体_GBK" w:cs="Times New Roman"/>
          <w:sz w:val="32"/>
          <w:szCs w:val="32"/>
        </w:rPr>
        <w:t>项目预算</w:t>
      </w:r>
      <w:r>
        <w:rPr>
          <w:rFonts w:ascii="Times New Roman" w:hAnsi="Times New Roman" w:eastAsia="方正黑体_GBK" w:cs="Times New Roman"/>
          <w:sz w:val="32"/>
          <w:szCs w:val="32"/>
        </w:rPr>
        <w:t>：</w:t>
      </w:r>
      <w:r>
        <w:rPr>
          <w:rFonts w:hint="eastAsia" w:ascii="Times New Roman" w:hAnsi="Times New Roman" w:eastAsia="仿宋_GB2312" w:cs="Times New Roman"/>
          <w:sz w:val="32"/>
          <w:szCs w:val="32"/>
        </w:rPr>
        <w:t>946564.50元</w:t>
      </w:r>
    </w:p>
    <w:p w14:paraId="7FFAAFFD">
      <w:pPr>
        <w:pStyle w:val="15"/>
        <w:spacing w:after="0" w:line="579" w:lineRule="exact"/>
        <w:ind w:firstLine="640" w:firstLineChars="200"/>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rPr>
        <w:t>三、服务时间：</w:t>
      </w:r>
      <w:r>
        <w:rPr>
          <w:rFonts w:hint="eastAsia" w:ascii="Times New Roman" w:hAnsi="Times New Roman" w:eastAsia="仿宋_GB2312" w:cs="Times New Roman"/>
          <w:sz w:val="32"/>
          <w:szCs w:val="32"/>
        </w:rPr>
        <w:t>合同签订之日起至大赛所有配套活动完成并提交最终成果报告止</w:t>
      </w:r>
    </w:p>
    <w:p w14:paraId="4F3E6DD4">
      <w:pPr>
        <w:pStyle w:val="15"/>
        <w:spacing w:after="0" w:line="579" w:lineRule="exact"/>
        <w:ind w:firstLine="640" w:firstLineChars="200"/>
        <w:rPr>
          <w:rFonts w:ascii="Times New Roman" w:hAnsi="Times New Roman" w:eastAsia="仿宋_GB2312" w:cs="Times New Roman"/>
          <w:sz w:val="32"/>
          <w:szCs w:val="32"/>
        </w:rPr>
      </w:pPr>
      <w:r>
        <w:rPr>
          <w:rFonts w:hint="eastAsia" w:ascii="方正黑体_GBK" w:hAnsi="方正黑体_GBK" w:eastAsia="方正黑体_GBK" w:cs="方正黑体_GBK"/>
          <w:sz w:val="32"/>
          <w:szCs w:val="32"/>
        </w:rPr>
        <w:t>四、采购方式：</w:t>
      </w:r>
      <w:r>
        <w:rPr>
          <w:rFonts w:hint="eastAsia" w:ascii="Times New Roman" w:hAnsi="Times New Roman" w:eastAsia="仿宋_GB2312" w:cs="Times New Roman"/>
          <w:sz w:val="32"/>
          <w:szCs w:val="32"/>
        </w:rPr>
        <w:t>局内控竞争性磋商</w:t>
      </w:r>
    </w:p>
    <w:p w14:paraId="29082DAB">
      <w:pPr>
        <w:spacing w:after="0" w:line="579" w:lineRule="exact"/>
        <w:ind w:firstLine="640" w:firstLineChars="200"/>
        <w:rPr>
          <w:rFonts w:hint="eastAsia" w:ascii="方正仿宋_GB2312" w:hAnsi="方正仿宋_GB2312" w:eastAsia="方正黑体_GBK" w:cs="方正仿宋_GB2312"/>
          <w:sz w:val="32"/>
          <w:szCs w:val="32"/>
        </w:rPr>
      </w:pPr>
      <w:r>
        <w:rPr>
          <w:rFonts w:hint="eastAsia" w:ascii="方正黑体_GBK" w:hAnsi="方正黑体_GBK" w:eastAsia="方正黑体_GBK" w:cs="方正黑体_GBK"/>
          <w:sz w:val="32"/>
          <w:szCs w:val="32"/>
        </w:rPr>
        <w:t>五、采购需求</w:t>
      </w:r>
    </w:p>
    <w:p w14:paraId="39CCAFD2">
      <w:p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供应商报价需按本项目细项进行分项报价，总报价不得超过项目预算，否则作无效响应处理。供应商需提供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人工智能+电竞创新应用大赛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及相关子赛事全流程实施与服务。具体内容如下：</w:t>
      </w:r>
    </w:p>
    <w:p w14:paraId="7C81D5B1">
      <w:pPr>
        <w:spacing w:after="0" w:line="579"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（一）活动预热及宣传邀约服务</w:t>
      </w:r>
    </w:p>
    <w:p w14:paraId="1BEFCF4E">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1.活动主题设计与启动仪式</w:t>
      </w:r>
    </w:p>
    <w:p w14:paraId="59F09B4E">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负责大赛主题创意设计，确保主题契合“人工智能+电竞创新应用”的核心定位，具有吸引力和传播性。</w:t>
      </w:r>
    </w:p>
    <w:p w14:paraId="7E82F379">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策划并执行大赛及子赛事启动仪式。包括流程设计、嘉宾邀请、现场布置等，打造具有行业影响力的启动活动。</w:t>
      </w:r>
    </w:p>
    <w:p w14:paraId="00C357A1">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2.线上线下宣传</w:t>
      </w:r>
    </w:p>
    <w:p w14:paraId="610579E7">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制定线上宣传方案，利用社交媒体、专业电竞平台、新闻网站等渠道进行大赛宣传推广，包括赛事信息、报名通道、亮点内容等的发布。</w:t>
      </w:r>
    </w:p>
    <w:p w14:paraId="2A227886">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开展线下宣传活动，如在高校、电竞场馆、商业综合体等地进行海报张贴、传单派发等，扩大赛事覆盖面。</w:t>
      </w:r>
    </w:p>
    <w:p w14:paraId="07767750">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国内</w:t>
      </w:r>
      <w:r>
        <w:rPr>
          <w:rFonts w:hint="eastAsia" w:ascii="仿宋_GB2312" w:hAnsi="仿宋_GB2312" w:eastAsia="仿宋_GB2312" w:cs="仿宋_GB2312"/>
          <w:b/>
          <w:bCs/>
          <w:sz w:val="32"/>
          <w:szCs w:val="32"/>
        </w:rPr>
        <w:t>外宣传</w:t>
      </w:r>
    </w:p>
    <w:p w14:paraId="66CBE83D">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制定赛事</w:t>
      </w:r>
      <w:r>
        <w:rPr>
          <w:rFonts w:hint="eastAsia" w:ascii="仿宋_GB2312" w:hAnsi="仿宋_GB2312" w:eastAsia="仿宋_GB2312" w:cs="仿宋_GB2312"/>
          <w:sz w:val="32"/>
          <w:szCs w:val="32"/>
          <w:lang w:val="en-US" w:eastAsia="zh-CN"/>
        </w:rPr>
        <w:t>国内</w:t>
      </w:r>
      <w:r>
        <w:rPr>
          <w:rFonts w:hint="eastAsia" w:ascii="仿宋_GB2312" w:hAnsi="仿宋_GB2312" w:eastAsia="仿宋_GB2312" w:cs="仿宋_GB2312"/>
          <w:sz w:val="32"/>
          <w:szCs w:val="32"/>
        </w:rPr>
        <w:t>外宣传推广工作方案，将赛事相关</w:t>
      </w:r>
      <w:r>
        <w:rPr>
          <w:rFonts w:hint="eastAsia" w:ascii="仿宋_GB2312" w:hAnsi="仿宋_GB2312" w:eastAsia="仿宋_GB2312" w:cs="仿宋_GB2312"/>
          <w:sz w:val="32"/>
          <w:szCs w:val="32"/>
          <w:lang w:val="en-US" w:eastAsia="zh-CN"/>
        </w:rPr>
        <w:t>宣传</w:t>
      </w:r>
      <w:r>
        <w:rPr>
          <w:rFonts w:hint="eastAsia" w:ascii="仿宋_GB2312" w:hAnsi="仿宋_GB2312" w:eastAsia="仿宋_GB2312" w:cs="仿宋_GB2312"/>
          <w:sz w:val="32"/>
          <w:szCs w:val="32"/>
        </w:rPr>
        <w:t>素材编译为英文稿并对外发布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围绕大赛及系列子赛事策划制作适配内容，进行多国家覆盖，持续提升大赛IP曝光度、影响力。</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939"/>
        <w:gridCol w:w="764"/>
        <w:gridCol w:w="831"/>
        <w:gridCol w:w="3747"/>
        <w:gridCol w:w="1419"/>
      </w:tblGrid>
      <w:tr w14:paraId="3877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2" w:type="dxa"/>
            <w:vAlign w:val="center"/>
          </w:tcPr>
          <w:p w14:paraId="3799647F">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939" w:type="dxa"/>
            <w:vAlign w:val="center"/>
          </w:tcPr>
          <w:p w14:paraId="12B12B0A">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w:t>
            </w:r>
          </w:p>
          <w:p w14:paraId="31CCDC60">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c>
          <w:tcPr>
            <w:tcW w:w="764" w:type="dxa"/>
            <w:vAlign w:val="center"/>
          </w:tcPr>
          <w:p w14:paraId="1B2F1C21">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831" w:type="dxa"/>
            <w:vAlign w:val="center"/>
          </w:tcPr>
          <w:p w14:paraId="7956DBE0">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3747" w:type="dxa"/>
            <w:vAlign w:val="center"/>
          </w:tcPr>
          <w:p w14:paraId="143E21EE">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内容及要求</w:t>
            </w:r>
          </w:p>
        </w:tc>
        <w:tc>
          <w:tcPr>
            <w:tcW w:w="1419" w:type="dxa"/>
            <w:vAlign w:val="center"/>
          </w:tcPr>
          <w:p w14:paraId="2EA85D30">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预算</w:t>
            </w:r>
          </w:p>
          <w:p w14:paraId="0C0BB6FC">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r>
      <w:tr w14:paraId="1AAC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822" w:type="dxa"/>
            <w:vAlign w:val="center"/>
          </w:tcPr>
          <w:p w14:paraId="5D43E85F">
            <w:pPr>
              <w:spacing w:after="0"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39" w:type="dxa"/>
            <w:vAlign w:val="center"/>
          </w:tcPr>
          <w:p w14:paraId="113659B5">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国内宣传曝光</w:t>
            </w:r>
          </w:p>
        </w:tc>
        <w:tc>
          <w:tcPr>
            <w:tcW w:w="764" w:type="dxa"/>
            <w:vAlign w:val="center"/>
          </w:tcPr>
          <w:p w14:paraId="6D1C3C62">
            <w:pPr>
              <w:spacing w:after="0" w:line="260" w:lineRule="exact"/>
              <w:jc w:val="center"/>
              <w:rPr>
                <w:rFonts w:hint="default" w:ascii="Times New Roman" w:hAnsi="Times New Roman" w:cs="Times New Roman"/>
                <w:sz w:val="24"/>
                <w:lang w:val="en-US"/>
              </w:rPr>
            </w:pPr>
            <w:r>
              <w:rPr>
                <w:rFonts w:hint="eastAsia" w:ascii="Times New Roman" w:hAnsi="Times New Roman" w:cs="Times New Roman"/>
                <w:sz w:val="24"/>
                <w:lang w:val="en-US" w:eastAsia="zh-CN"/>
              </w:rPr>
              <w:t>200</w:t>
            </w:r>
          </w:p>
        </w:tc>
        <w:tc>
          <w:tcPr>
            <w:tcW w:w="831" w:type="dxa"/>
            <w:vAlign w:val="center"/>
          </w:tcPr>
          <w:p w14:paraId="6F456E50">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万次</w:t>
            </w:r>
          </w:p>
        </w:tc>
        <w:tc>
          <w:tcPr>
            <w:tcW w:w="3747" w:type="dxa"/>
            <w:vAlign w:val="center"/>
          </w:tcPr>
          <w:p w14:paraId="200230DB">
            <w:pPr>
              <w:spacing w:after="0" w:line="260" w:lineRule="exact"/>
              <w:rPr>
                <w:rFonts w:hint="eastAsia"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完成具备清晰内容架构、便捷浏览体验且支持信息实时更新功能的大赛专属</w:t>
            </w:r>
            <w:r>
              <w:rPr>
                <w:rFonts w:hint="eastAsia" w:ascii="Times New Roman" w:hAnsi="Times New Roman" w:eastAsia="仿宋_GB2312" w:cs="Times New Roman"/>
                <w:color w:val="000000" w:themeColor="text1"/>
                <w:sz w:val="24"/>
                <w14:textFill>
                  <w14:solidFill>
                    <w14:schemeClr w14:val="tx1"/>
                  </w14:solidFill>
                </w14:textFill>
              </w:rPr>
              <w:t>网页</w:t>
            </w:r>
            <w:r>
              <w:rPr>
                <w:rFonts w:ascii="Times New Roman" w:hAnsi="Times New Roman" w:eastAsia="仿宋_GB2312" w:cs="Times New Roman"/>
                <w:color w:val="000000" w:themeColor="text1"/>
                <w:sz w:val="24"/>
                <w14:textFill>
                  <w14:solidFill>
                    <w14:schemeClr w14:val="tx1"/>
                  </w14:solidFill>
                </w14:textFill>
              </w:rPr>
              <w:t>搭建，并通过该</w:t>
            </w:r>
            <w:r>
              <w:rPr>
                <w:rFonts w:hint="eastAsia" w:ascii="Times New Roman" w:hAnsi="Times New Roman" w:eastAsia="仿宋_GB2312" w:cs="Times New Roman"/>
                <w:color w:val="000000" w:themeColor="text1"/>
                <w:sz w:val="24"/>
                <w14:textFill>
                  <w14:solidFill>
                    <w14:schemeClr w14:val="tx1"/>
                  </w14:solidFill>
                </w14:textFill>
              </w:rPr>
              <w:t>网页</w:t>
            </w:r>
            <w:r>
              <w:rPr>
                <w:rFonts w:ascii="Times New Roman" w:hAnsi="Times New Roman" w:eastAsia="仿宋_GB2312" w:cs="Times New Roman"/>
                <w:color w:val="000000" w:themeColor="text1"/>
                <w:sz w:val="24"/>
                <w14:textFill>
                  <w14:solidFill>
                    <w14:schemeClr w14:val="tx1"/>
                  </w14:solidFill>
                </w14:textFill>
              </w:rPr>
              <w:t>及时发布大赛重点新闻、赛程进度、获奖动态等核心信息</w:t>
            </w:r>
            <w:r>
              <w:rPr>
                <w:rFonts w:hint="eastAsia" w:ascii="Times New Roman" w:hAnsi="Times New Roman" w:eastAsia="仿宋_GB2312" w:cs="Times New Roman"/>
                <w:color w:val="000000" w:themeColor="text1"/>
                <w:sz w:val="24"/>
                <w14:textFill>
                  <w14:solidFill>
                    <w14:schemeClr w14:val="tx1"/>
                  </w14:solidFill>
                </w14:textFill>
              </w:rPr>
              <w:t>；</w:t>
            </w:r>
          </w:p>
          <w:p w14:paraId="55A5F6DC">
            <w:pPr>
              <w:spacing w:after="0" w:line="260" w:lineRule="exact"/>
              <w:rPr>
                <w:rFonts w:hint="eastAsia" w:ascii="仿宋_GB2312" w:hAnsi="仿宋_GB2312" w:eastAsia="仿宋_GB2312" w:cs="仿宋_GB2312"/>
                <w:sz w:val="24"/>
              </w:rPr>
            </w:pPr>
            <w:r>
              <w:rPr>
                <w:rFonts w:hint="eastAsia" w:ascii="Times New Roman" w:hAnsi="Times New Roman" w:eastAsia="仿宋_GB2312" w:cs="Times New Roman"/>
                <w:color w:val="000000" w:themeColor="text1"/>
                <w:sz w:val="24"/>
                <w14:textFill>
                  <w14:solidFill>
                    <w14:schemeClr w14:val="tx1"/>
                  </w14:solidFill>
                </w14:textFill>
              </w:rPr>
              <w:t>利用社交媒体、新闻网站、官方账号等渠道进行大赛宣传推广，包括赛事信息、报名通道、亮点内容等的发布。</w:t>
            </w:r>
          </w:p>
        </w:tc>
        <w:tc>
          <w:tcPr>
            <w:tcW w:w="1419" w:type="dxa"/>
            <w:vAlign w:val="center"/>
          </w:tcPr>
          <w:p w14:paraId="5AFC433E">
            <w:pPr>
              <w:numPr>
                <w:ilvl w:val="255"/>
                <w:numId w:val="0"/>
              </w:numPr>
              <w:spacing w:after="0" w:line="260" w:lineRule="exact"/>
              <w:jc w:val="left"/>
              <w:rPr>
                <w:rFonts w:eastAsia="仿宋_GB2312"/>
              </w:rPr>
            </w:pPr>
            <w:r>
              <w:rPr>
                <w:rFonts w:hint="eastAsia" w:ascii="Times New Roman" w:hAnsi="Times New Roman" w:eastAsia="仿宋_GB2312" w:cs="Times New Roman"/>
                <w:color w:val="000000" w:themeColor="text1"/>
                <w:sz w:val="24"/>
                <w14:textFill>
                  <w14:solidFill>
                    <w14:schemeClr w14:val="tx1"/>
                  </w14:solidFill>
                </w14:textFill>
              </w:rPr>
              <w:t>内容采集、</w:t>
            </w:r>
            <w:r>
              <w:rPr>
                <w:rFonts w:hint="eastAsia" w:ascii="Times New Roman" w:hAnsi="Times New Roman" w:eastAsia="仿宋_GB2312" w:cs="Times New Roman"/>
                <w:color w:val="000000" w:themeColor="text1"/>
                <w:sz w:val="24"/>
                <w:lang w:val="en-US" w:eastAsia="zh-CN"/>
                <w14:textFill>
                  <w14:solidFill>
                    <w14:schemeClr w14:val="tx1"/>
                  </w14:solidFill>
                </w14:textFill>
              </w:rPr>
              <w:t>创</w:t>
            </w:r>
            <w:r>
              <w:rPr>
                <w:rFonts w:hint="eastAsia" w:ascii="Times New Roman" w:hAnsi="Times New Roman" w:eastAsia="仿宋_GB2312" w:cs="Times New Roman"/>
                <w:color w:val="000000" w:themeColor="text1"/>
                <w:sz w:val="24"/>
                <w14:textFill>
                  <w14:solidFill>
                    <w14:schemeClr w14:val="tx1"/>
                  </w14:solidFill>
                </w14:textFill>
              </w:rPr>
              <w:t>作服务费；主流媒体合作费用</w:t>
            </w:r>
          </w:p>
        </w:tc>
      </w:tr>
      <w:tr w14:paraId="6862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822" w:type="dxa"/>
            <w:vAlign w:val="center"/>
          </w:tcPr>
          <w:p w14:paraId="66198F8D">
            <w:pPr>
              <w:spacing w:after="0"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939" w:type="dxa"/>
            <w:vAlign w:val="center"/>
          </w:tcPr>
          <w:p w14:paraId="7DA4F720">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东</w:t>
            </w:r>
            <w:r>
              <w:rPr>
                <w:rFonts w:hint="eastAsia" w:ascii="仿宋_GB2312" w:hAnsi="仿宋_GB2312" w:eastAsia="仿宋_GB2312" w:cs="仿宋_GB2312"/>
                <w:sz w:val="24"/>
                <w:lang w:val="en-US" w:eastAsia="zh-CN"/>
              </w:rPr>
              <w:t>盟</w:t>
            </w:r>
            <w:r>
              <w:rPr>
                <w:rFonts w:hint="eastAsia" w:ascii="仿宋_GB2312" w:hAnsi="仿宋_GB2312" w:eastAsia="仿宋_GB2312" w:cs="仿宋_GB2312"/>
                <w:sz w:val="24"/>
              </w:rPr>
              <w:t>宣传曝光</w:t>
            </w:r>
          </w:p>
        </w:tc>
        <w:tc>
          <w:tcPr>
            <w:tcW w:w="764" w:type="dxa"/>
            <w:vAlign w:val="center"/>
          </w:tcPr>
          <w:p w14:paraId="3CA97DD6">
            <w:pPr>
              <w:spacing w:after="0" w:line="260" w:lineRule="exact"/>
              <w:jc w:val="center"/>
              <w:rPr>
                <w:rFonts w:ascii="Times New Roman" w:hAnsi="Times New Roman" w:cs="Times New Roman"/>
                <w:sz w:val="24"/>
              </w:rPr>
            </w:pPr>
            <w:r>
              <w:rPr>
                <w:rFonts w:ascii="Times New Roman" w:hAnsi="Times New Roman" w:eastAsia="微软雅黑" w:cs="Times New Roman"/>
                <w:sz w:val="24"/>
              </w:rPr>
              <w:t>100</w:t>
            </w:r>
          </w:p>
        </w:tc>
        <w:tc>
          <w:tcPr>
            <w:tcW w:w="831" w:type="dxa"/>
            <w:vAlign w:val="center"/>
          </w:tcPr>
          <w:p w14:paraId="4D4D5448">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万次</w:t>
            </w:r>
          </w:p>
        </w:tc>
        <w:tc>
          <w:tcPr>
            <w:tcW w:w="3747" w:type="dxa"/>
            <w:vAlign w:val="center"/>
          </w:tcPr>
          <w:p w14:paraId="2AA72A52">
            <w:pPr>
              <w:spacing w:after="0" w:line="260" w:lineRule="exact"/>
              <w:rPr>
                <w:rFonts w:hint="eastAsia" w:ascii="仿宋_GB2312" w:hAnsi="仿宋_GB2312" w:eastAsia="仿宋_GB2312" w:cs="仿宋_GB2312"/>
                <w:sz w:val="24"/>
              </w:rPr>
            </w:pPr>
            <w:r>
              <w:rPr>
                <w:rFonts w:hint="eastAsia" w:ascii="Times New Roman" w:hAnsi="Times New Roman" w:eastAsia="仿宋_GB2312" w:cs="Times New Roman"/>
                <w:color w:val="000000" w:themeColor="text1"/>
                <w:sz w:val="24"/>
                <w14:textFill>
                  <w14:solidFill>
                    <w14:schemeClr w14:val="tx1"/>
                  </w14:solidFill>
                </w14:textFill>
              </w:rPr>
              <w:t>统筹运营TikTok、Facebook、ins等社交媒体平台账号</w:t>
            </w:r>
            <w:r>
              <w:rPr>
                <w:rFonts w:hint="eastAsia" w:ascii="Times New Roman" w:hAnsi="Times New Roman" w:eastAsia="仿宋_GB2312" w:cs="Times New Roman"/>
                <w:color w:val="000000" w:themeColor="text1"/>
                <w:sz w:val="24"/>
                <w:lang w:eastAsia="zh-CN"/>
                <w14:textFill>
                  <w14:solidFill>
                    <w14:schemeClr w14:val="tx1"/>
                  </w14:solidFill>
                </w14:textFill>
              </w:rPr>
              <w:t>，</w:t>
            </w:r>
            <w:r>
              <w:rPr>
                <w:rFonts w:hint="eastAsia" w:ascii="Times New Roman" w:hAnsi="Times New Roman" w:eastAsia="仿宋_GB2312" w:cs="Times New Roman"/>
                <w:color w:val="000000" w:themeColor="text1"/>
                <w:sz w:val="24"/>
                <w14:textFill>
                  <w14:solidFill>
                    <w14:schemeClr w14:val="tx1"/>
                  </w14:solidFill>
                </w14:textFill>
              </w:rPr>
              <w:t>筛选、对接东盟国家主流媒体及行业媒体，建立合作关系并维护运营。</w:t>
            </w:r>
          </w:p>
        </w:tc>
        <w:tc>
          <w:tcPr>
            <w:tcW w:w="1419" w:type="dxa"/>
            <w:vAlign w:val="center"/>
          </w:tcPr>
          <w:p w14:paraId="6A0F4F4C">
            <w:pPr>
              <w:spacing w:after="0" w:line="260" w:lineRule="exact"/>
              <w:rPr>
                <w:rFonts w:hint="eastAsia" w:ascii="仿宋_GB2312" w:hAnsi="仿宋_GB2312" w:eastAsia="仿宋_GB2312" w:cs="仿宋_GB2312"/>
                <w:sz w:val="24"/>
              </w:rPr>
            </w:pPr>
            <w:r>
              <w:rPr>
                <w:rFonts w:hint="eastAsia" w:ascii="Times New Roman" w:hAnsi="Times New Roman" w:eastAsia="仿宋_GB2312" w:cs="Times New Roman"/>
                <w:color w:val="000000" w:themeColor="text1"/>
                <w:sz w:val="24"/>
                <w14:textFill>
                  <w14:solidFill>
                    <w14:schemeClr w14:val="tx1"/>
                  </w14:solidFill>
                </w14:textFill>
              </w:rPr>
              <w:t>东盟主流媒体合作费、发布费，翻译服务费</w:t>
            </w:r>
          </w:p>
        </w:tc>
      </w:tr>
    </w:tbl>
    <w:p w14:paraId="141AF1DF">
      <w:pPr>
        <w:spacing w:after="0" w:line="579" w:lineRule="exact"/>
        <w:rPr>
          <w:rFonts w:hint="eastAsia" w:ascii="仿宋_GB2312" w:hAnsi="仿宋_GB2312" w:eastAsia="仿宋_GB2312" w:cs="仿宋_GB2312"/>
          <w:sz w:val="32"/>
          <w:szCs w:val="32"/>
        </w:rPr>
      </w:pPr>
    </w:p>
    <w:p w14:paraId="68BDA351">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4.企业邀约服务</w:t>
      </w:r>
    </w:p>
    <w:p w14:paraId="4E2F5A2E">
      <w:pPr>
        <w:spacing w:after="0" w:line="579"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结合大赛主题与地方数字经济产业发展方向，通过社会宣传和定向邀约的方式，邀请区内外、港澳、东盟地区人工智能、电竞、数字经济等产业链上下游的相关企业，推动企业参与本次赛事，参赛企业数量不低于25家。</w:t>
      </w:r>
    </w:p>
    <w:p w14:paraId="09A364F1">
      <w:pPr>
        <w:spacing w:after="0" w:line="579"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为意向入驻企业提供政策咨询、产业园区对接、落地洽谈等配套服务，实时跟进企业入驻意向进度，建立并完善入驻对接工作台账。</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939"/>
        <w:gridCol w:w="764"/>
        <w:gridCol w:w="831"/>
        <w:gridCol w:w="3747"/>
        <w:gridCol w:w="1419"/>
      </w:tblGrid>
      <w:tr w14:paraId="5C7A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2" w:type="dxa"/>
            <w:vAlign w:val="center"/>
          </w:tcPr>
          <w:p w14:paraId="5C6416F0">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939" w:type="dxa"/>
            <w:vAlign w:val="center"/>
          </w:tcPr>
          <w:p w14:paraId="06D0E788">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w:t>
            </w:r>
          </w:p>
          <w:p w14:paraId="174F06EE">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c>
          <w:tcPr>
            <w:tcW w:w="764" w:type="dxa"/>
            <w:vAlign w:val="center"/>
          </w:tcPr>
          <w:p w14:paraId="4DC9869E">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831" w:type="dxa"/>
            <w:vAlign w:val="center"/>
          </w:tcPr>
          <w:p w14:paraId="473E310B">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3747" w:type="dxa"/>
            <w:vAlign w:val="center"/>
          </w:tcPr>
          <w:p w14:paraId="37EC3E13">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内容及要求</w:t>
            </w:r>
          </w:p>
        </w:tc>
        <w:tc>
          <w:tcPr>
            <w:tcW w:w="1419" w:type="dxa"/>
            <w:vAlign w:val="center"/>
          </w:tcPr>
          <w:p w14:paraId="7D1638E3">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预算</w:t>
            </w:r>
          </w:p>
          <w:p w14:paraId="5891626F">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r>
      <w:tr w14:paraId="080A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72367B7">
            <w:pPr>
              <w:spacing w:after="0" w:line="579"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39" w:type="dxa"/>
            <w:vAlign w:val="center"/>
          </w:tcPr>
          <w:p w14:paraId="044EC28F">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国内企业定向邀约</w:t>
            </w:r>
          </w:p>
        </w:tc>
        <w:tc>
          <w:tcPr>
            <w:tcW w:w="764" w:type="dxa"/>
            <w:vAlign w:val="center"/>
          </w:tcPr>
          <w:p w14:paraId="5C8A8AB7">
            <w:pPr>
              <w:spacing w:after="0" w:line="260" w:lineRule="exact"/>
              <w:jc w:val="center"/>
              <w:rPr>
                <w:rFonts w:ascii="Times New Roman" w:hAnsi="Times New Roman" w:cs="Times New Roman"/>
                <w:sz w:val="24"/>
              </w:rPr>
            </w:pPr>
            <w:r>
              <w:rPr>
                <w:rFonts w:hint="eastAsia" w:ascii="微软雅黑" w:hAnsi="微软雅黑" w:eastAsia="微软雅黑" w:cs="微软雅黑"/>
                <w:sz w:val="24"/>
              </w:rPr>
              <w:t>≥</w:t>
            </w:r>
            <w:r>
              <w:rPr>
                <w:rFonts w:hint="eastAsia" w:ascii="Times New Roman" w:hAnsi="Times New Roman" w:cs="Times New Roman"/>
                <w:sz w:val="24"/>
              </w:rPr>
              <w:t>11</w:t>
            </w:r>
          </w:p>
        </w:tc>
        <w:tc>
          <w:tcPr>
            <w:tcW w:w="831" w:type="dxa"/>
            <w:vAlign w:val="center"/>
          </w:tcPr>
          <w:p w14:paraId="49F8731C">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w:t>
            </w:r>
          </w:p>
        </w:tc>
        <w:tc>
          <w:tcPr>
            <w:tcW w:w="3747" w:type="dxa"/>
            <w:vAlign w:val="center"/>
          </w:tcPr>
          <w:p w14:paraId="5B64D0D6">
            <w:pPr>
              <w:spacing w:after="0" w:line="2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面向国内知名电竞俱乐部、电竞全产业链上下游企业、数字及电竞领域优质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初创</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公司、相关科研院所等开展定向邀约。</w:t>
            </w:r>
          </w:p>
        </w:tc>
        <w:tc>
          <w:tcPr>
            <w:tcW w:w="1419" w:type="dxa"/>
            <w:vAlign w:val="center"/>
          </w:tcPr>
          <w:p w14:paraId="45AC8F83">
            <w:pPr>
              <w:numPr>
                <w:ilvl w:val="255"/>
                <w:numId w:val="0"/>
              </w:numPr>
              <w:spacing w:after="0" w:line="260" w:lineRule="exact"/>
              <w:rPr>
                <w:rFonts w:eastAsia="仿宋_GB2312"/>
              </w:rPr>
            </w:pPr>
            <w:r>
              <w:rPr>
                <w:rFonts w:hint="eastAsia" w:ascii="仿宋_GB2312" w:hAnsi="仿宋_GB2312" w:eastAsia="仿宋_GB2312" w:cs="仿宋_GB2312"/>
                <w:sz w:val="24"/>
              </w:rPr>
              <w:t>企业定向邀约、沟通对接、嘉宾服务及现场保障。</w:t>
            </w:r>
          </w:p>
        </w:tc>
      </w:tr>
      <w:tr w14:paraId="1C45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3D39CC8">
            <w:pPr>
              <w:spacing w:after="0" w:line="579" w:lineRule="exact"/>
              <w:jc w:val="center"/>
              <w:rPr>
                <w:rFonts w:ascii="Times New Roman" w:hAnsi="Times New Roman" w:eastAsia="仿宋_GB2312" w:cs="Times New Roman"/>
                <w:sz w:val="24"/>
              </w:rPr>
            </w:pPr>
            <w:r>
              <w:rPr>
                <w:rFonts w:ascii="Times New Roman" w:hAnsi="Times New Roman" w:eastAsia="仿宋_GB2312" w:cs="Times New Roman"/>
                <w:sz w:val="24"/>
              </w:rPr>
              <w:t>2</w:t>
            </w:r>
          </w:p>
        </w:tc>
        <w:tc>
          <w:tcPr>
            <w:tcW w:w="939" w:type="dxa"/>
            <w:vAlign w:val="center"/>
          </w:tcPr>
          <w:p w14:paraId="38326372">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东盟企业定向邀约</w:t>
            </w:r>
          </w:p>
        </w:tc>
        <w:tc>
          <w:tcPr>
            <w:tcW w:w="764" w:type="dxa"/>
            <w:vAlign w:val="center"/>
          </w:tcPr>
          <w:p w14:paraId="001DEE80">
            <w:pPr>
              <w:spacing w:after="0" w:line="260" w:lineRule="exact"/>
              <w:jc w:val="center"/>
              <w:rPr>
                <w:rFonts w:ascii="Times New Roman" w:hAnsi="Times New Roman" w:cs="Times New Roman"/>
                <w:sz w:val="24"/>
              </w:rPr>
            </w:pPr>
            <w:r>
              <w:rPr>
                <w:rFonts w:hint="eastAsia" w:ascii="微软雅黑" w:hAnsi="微软雅黑" w:eastAsia="微软雅黑" w:cs="微软雅黑"/>
                <w:sz w:val="24"/>
              </w:rPr>
              <w:t>≥</w:t>
            </w:r>
            <w:r>
              <w:rPr>
                <w:rFonts w:ascii="Times New Roman" w:hAnsi="Times New Roman" w:cs="Times New Roman"/>
                <w:sz w:val="24"/>
              </w:rPr>
              <w:t>4</w:t>
            </w:r>
          </w:p>
        </w:tc>
        <w:tc>
          <w:tcPr>
            <w:tcW w:w="831" w:type="dxa"/>
            <w:vAlign w:val="center"/>
          </w:tcPr>
          <w:p w14:paraId="17534F10">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w:t>
            </w:r>
          </w:p>
        </w:tc>
        <w:tc>
          <w:tcPr>
            <w:tcW w:w="3747" w:type="dxa"/>
            <w:vAlign w:val="center"/>
          </w:tcPr>
          <w:p w14:paraId="720CD2E1">
            <w:pPr>
              <w:spacing w:after="0" w:line="2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面向东盟企业</w:t>
            </w:r>
            <w:r>
              <w:rPr>
                <w:rFonts w:hint="eastAsia" w:ascii="仿宋_GB2312" w:hAnsi="仿宋_GB2312" w:eastAsia="仿宋_GB2312" w:cs="仿宋_GB2312"/>
                <w:sz w:val="24"/>
                <w:lang w:val="en-US" w:eastAsia="zh-CN"/>
              </w:rPr>
              <w:t>开展</w:t>
            </w:r>
            <w:r>
              <w:rPr>
                <w:rFonts w:hint="eastAsia" w:ascii="仿宋_GB2312" w:hAnsi="仿宋_GB2312" w:eastAsia="仿宋_GB2312" w:cs="仿宋_GB2312"/>
                <w:sz w:val="24"/>
              </w:rPr>
              <w:t>邀约，重点筛选、对接、邀请东盟区域知名电竞机构、数字文娱企业、电竞及数字经济产业链上下游机构、跨境科技与创新型企业参与。</w:t>
            </w:r>
          </w:p>
        </w:tc>
        <w:tc>
          <w:tcPr>
            <w:tcW w:w="1419" w:type="dxa"/>
            <w:vAlign w:val="center"/>
          </w:tcPr>
          <w:p w14:paraId="7103078A">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企业定向邀约、沟通对接、嘉宾服务及现场保障。</w:t>
            </w:r>
          </w:p>
        </w:tc>
      </w:tr>
      <w:tr w14:paraId="7C6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822" w:type="dxa"/>
            <w:vAlign w:val="center"/>
          </w:tcPr>
          <w:p w14:paraId="24820357">
            <w:pPr>
              <w:spacing w:after="0" w:line="579"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939" w:type="dxa"/>
            <w:vAlign w:val="center"/>
          </w:tcPr>
          <w:p w14:paraId="2AC6DCB3">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社会企业报名</w:t>
            </w:r>
          </w:p>
        </w:tc>
        <w:tc>
          <w:tcPr>
            <w:tcW w:w="764" w:type="dxa"/>
            <w:vAlign w:val="center"/>
          </w:tcPr>
          <w:p w14:paraId="2A0D8C6E">
            <w:pPr>
              <w:spacing w:after="0" w:line="260" w:lineRule="exact"/>
              <w:jc w:val="center"/>
              <w:rPr>
                <w:rFonts w:hint="eastAsia" w:ascii="微软雅黑" w:hAnsi="微软雅黑" w:eastAsia="微软雅黑" w:cs="微软雅黑"/>
                <w:sz w:val="24"/>
              </w:rPr>
            </w:pPr>
            <w:r>
              <w:rPr>
                <w:rFonts w:hint="eastAsia" w:ascii="微软雅黑" w:hAnsi="微软雅黑" w:eastAsia="微软雅黑" w:cs="微软雅黑"/>
                <w:sz w:val="24"/>
              </w:rPr>
              <w:t>≥</w:t>
            </w:r>
            <w:r>
              <w:rPr>
                <w:rFonts w:hint="eastAsia" w:ascii="Times New Roman" w:hAnsi="Times New Roman" w:cs="Times New Roman"/>
                <w:sz w:val="24"/>
              </w:rPr>
              <w:t>10</w:t>
            </w:r>
          </w:p>
        </w:tc>
        <w:tc>
          <w:tcPr>
            <w:tcW w:w="831" w:type="dxa"/>
            <w:vAlign w:val="center"/>
          </w:tcPr>
          <w:p w14:paraId="64D123C9">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w:t>
            </w:r>
          </w:p>
        </w:tc>
        <w:tc>
          <w:tcPr>
            <w:tcW w:w="3747" w:type="dxa"/>
            <w:vAlign w:val="center"/>
          </w:tcPr>
          <w:p w14:paraId="4656CF54">
            <w:pPr>
              <w:spacing w:after="0" w:line="2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通过社会宣传的方式，吸引电竞俱乐部、电竞全产业链上下游企业、数字及电竞领域优质</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初创</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公司、相关科研院所等相关企业参与。</w:t>
            </w:r>
          </w:p>
        </w:tc>
        <w:tc>
          <w:tcPr>
            <w:tcW w:w="1419" w:type="dxa"/>
            <w:vAlign w:val="center"/>
          </w:tcPr>
          <w:p w14:paraId="0B5CA648">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社会宣传、沟通对接、嘉宾服务及现场保障。</w:t>
            </w:r>
          </w:p>
        </w:tc>
      </w:tr>
    </w:tbl>
    <w:p w14:paraId="1ACA2010">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5.高校邀约服务</w:t>
      </w:r>
    </w:p>
    <w:p w14:paraId="573CBC49">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对接广西及港澳高校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积极动员组织师生踊跃报名参赛，做好赛事政策解读、报名指导及宣传推广工作，鼓励青年学子发挥专业特长与创新能力，深度参与赛事全过程，助力大赛高质量开展。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939"/>
        <w:gridCol w:w="764"/>
        <w:gridCol w:w="831"/>
        <w:gridCol w:w="3747"/>
        <w:gridCol w:w="1419"/>
      </w:tblGrid>
      <w:tr w14:paraId="56C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22" w:type="dxa"/>
            <w:vAlign w:val="center"/>
          </w:tcPr>
          <w:p w14:paraId="50101862">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939" w:type="dxa"/>
            <w:vAlign w:val="center"/>
          </w:tcPr>
          <w:p w14:paraId="1484359B">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项目</w:t>
            </w:r>
          </w:p>
          <w:p w14:paraId="2F093228">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c>
          <w:tcPr>
            <w:tcW w:w="764" w:type="dxa"/>
            <w:vAlign w:val="center"/>
          </w:tcPr>
          <w:p w14:paraId="0ED600E0">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831" w:type="dxa"/>
            <w:vAlign w:val="center"/>
          </w:tcPr>
          <w:p w14:paraId="42EC4AC5">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3747" w:type="dxa"/>
            <w:vAlign w:val="center"/>
          </w:tcPr>
          <w:p w14:paraId="7DFD46A6">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内容及要求</w:t>
            </w:r>
          </w:p>
        </w:tc>
        <w:tc>
          <w:tcPr>
            <w:tcW w:w="1419" w:type="dxa"/>
            <w:vAlign w:val="center"/>
          </w:tcPr>
          <w:p w14:paraId="788C3B66">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预算</w:t>
            </w:r>
          </w:p>
          <w:p w14:paraId="36CFA3E1">
            <w:pPr>
              <w:spacing w:after="0" w:line="240" w:lineRule="auto"/>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内容</w:t>
            </w:r>
          </w:p>
        </w:tc>
      </w:tr>
      <w:tr w14:paraId="1F72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22" w:type="dxa"/>
            <w:vAlign w:val="center"/>
          </w:tcPr>
          <w:p w14:paraId="5265504E">
            <w:pPr>
              <w:spacing w:after="0"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39" w:type="dxa"/>
            <w:vAlign w:val="center"/>
          </w:tcPr>
          <w:p w14:paraId="13C697A1">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高校邀约</w:t>
            </w:r>
          </w:p>
        </w:tc>
        <w:tc>
          <w:tcPr>
            <w:tcW w:w="764" w:type="dxa"/>
            <w:vAlign w:val="center"/>
          </w:tcPr>
          <w:p w14:paraId="44B3C66B">
            <w:pPr>
              <w:spacing w:after="0" w:line="260" w:lineRule="exact"/>
              <w:jc w:val="center"/>
              <w:rPr>
                <w:rFonts w:ascii="Times New Roman" w:hAnsi="Times New Roman" w:cs="Times New Roman"/>
                <w:sz w:val="24"/>
              </w:rPr>
            </w:pPr>
            <w:r>
              <w:rPr>
                <w:rFonts w:hint="eastAsia" w:ascii="微软雅黑" w:hAnsi="微软雅黑" w:eastAsia="微软雅黑" w:cs="微软雅黑"/>
                <w:sz w:val="24"/>
              </w:rPr>
              <w:t>≥</w:t>
            </w:r>
            <w:r>
              <w:rPr>
                <w:rFonts w:hint="eastAsia" w:ascii="Times New Roman" w:hAnsi="Times New Roman" w:cs="Times New Roman"/>
                <w:sz w:val="24"/>
              </w:rPr>
              <w:t>20</w:t>
            </w:r>
          </w:p>
        </w:tc>
        <w:tc>
          <w:tcPr>
            <w:tcW w:w="831" w:type="dxa"/>
            <w:vAlign w:val="center"/>
          </w:tcPr>
          <w:p w14:paraId="3FCFC2EC">
            <w:pPr>
              <w:spacing w:after="0" w:line="2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家</w:t>
            </w:r>
          </w:p>
        </w:tc>
        <w:tc>
          <w:tcPr>
            <w:tcW w:w="3747" w:type="dxa"/>
            <w:vAlign w:val="center"/>
          </w:tcPr>
          <w:p w14:paraId="2075BF96">
            <w:pPr>
              <w:spacing w:after="0" w:line="260" w:lineRule="exact"/>
              <w:rPr>
                <w:rFonts w:hint="eastAsia" w:ascii="仿宋_GB2312" w:hAnsi="仿宋_GB2312" w:eastAsia="仿宋_GB2312" w:cs="仿宋_GB2312"/>
                <w:sz w:val="24"/>
              </w:rPr>
            </w:pPr>
            <w:r>
              <w:rPr>
                <w:rFonts w:hint="eastAsia" w:ascii="仿宋_GB2312" w:hAnsi="仿宋_GB2312" w:eastAsia="仿宋_GB2312" w:cs="仿宋_GB2312"/>
                <w:sz w:val="24"/>
              </w:rPr>
              <w:t>邀请广西、香港/澳门高校师生参与，涵盖人工智能、计算机科学与技术、数据科学与大数据技术、软件工程、电子信息工程、数字媒体技术、网络与新媒体、电竞运动与管理、视觉传达设计、动画、体育教育等专业。</w:t>
            </w:r>
          </w:p>
        </w:tc>
        <w:tc>
          <w:tcPr>
            <w:tcW w:w="1419" w:type="dxa"/>
            <w:vAlign w:val="center"/>
          </w:tcPr>
          <w:p w14:paraId="6043ADE3">
            <w:pPr>
              <w:numPr>
                <w:ilvl w:val="255"/>
                <w:numId w:val="0"/>
              </w:numPr>
              <w:spacing w:after="0" w:line="260" w:lineRule="exact"/>
              <w:rPr>
                <w:rFonts w:eastAsia="仿宋_GB2312"/>
              </w:rPr>
            </w:pPr>
            <w:r>
              <w:rPr>
                <w:rFonts w:hint="eastAsia" w:ascii="仿宋_GB2312" w:hAnsi="仿宋_GB2312" w:eastAsia="仿宋_GB2312" w:cs="仿宋_GB2312"/>
                <w:sz w:val="24"/>
              </w:rPr>
              <w:t>高校定向邀约、沟通对接、嘉宾服务及现场保障。</w:t>
            </w:r>
          </w:p>
        </w:tc>
      </w:tr>
    </w:tbl>
    <w:p w14:paraId="141C2164">
      <w:pPr>
        <w:spacing w:after="0" w:line="579" w:lineRule="exact"/>
        <w:ind w:firstLine="640" w:firstLineChars="200"/>
        <w:rPr>
          <w:rFonts w:hint="eastAsia" w:ascii="仿宋_GB2312" w:hAnsi="仿宋_GB2312" w:eastAsia="仿宋_GB2312" w:cs="仿宋_GB2312"/>
          <w:sz w:val="32"/>
          <w:szCs w:val="32"/>
        </w:rPr>
      </w:pPr>
    </w:p>
    <w:p w14:paraId="1639BEB7">
      <w:pPr>
        <w:spacing w:after="0" w:line="579"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（二）大赛线上服务平台搭建与维护服务</w:t>
      </w:r>
    </w:p>
    <w:p w14:paraId="40562D99">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1.线上服务平台搭建</w:t>
      </w:r>
    </w:p>
    <w:p w14:paraId="45202C7C">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开发搭建适配大赛</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面向公众开放、可通过网络搜索引擎进行访问与查询的官方服务</w:t>
      </w:r>
      <w:r>
        <w:rPr>
          <w:rFonts w:hint="eastAsia" w:ascii="仿宋_GB2312" w:hAnsi="仿宋_GB2312" w:eastAsia="仿宋_GB2312" w:cs="仿宋_GB2312"/>
          <w:sz w:val="32"/>
          <w:szCs w:val="32"/>
          <w:highlight w:val="none"/>
          <w:lang w:val="en-US" w:eastAsia="zh-CN"/>
        </w:rPr>
        <w:t>网页</w:t>
      </w:r>
      <w:r>
        <w:rPr>
          <w:rFonts w:hint="eastAsia" w:ascii="仿宋_GB2312" w:hAnsi="仿宋_GB2312" w:eastAsia="仿宋_GB2312" w:cs="仿宋_GB2312"/>
          <w:sz w:val="32"/>
          <w:szCs w:val="32"/>
        </w:rPr>
        <w:t>平台，并与智桂通完成对接，集成赛事详情介绍、报名数据统计、参赛项目展示、获奖项目公示、赛后宣传推广等核心功能，满足赛事全流程线上运营需求。</w:t>
      </w:r>
    </w:p>
    <w:p w14:paraId="7E576C15">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2.系统维护</w:t>
      </w:r>
    </w:p>
    <w:p w14:paraId="7ADA5610">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安排专业技术人员对展示系统进行日常维护，及时处理系统故障、数据异常等问题，保障系统的持续稳定运行。</w:t>
      </w:r>
    </w:p>
    <w:p w14:paraId="2524AE82">
      <w:pPr>
        <w:spacing w:after="0" w:line="579"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（三）赛事组织服务</w:t>
      </w:r>
    </w:p>
    <w:p w14:paraId="0B476D19">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1.专家评委邀请</w:t>
      </w:r>
    </w:p>
    <w:p w14:paraId="4E311094">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负责邀请人工智能和电竞领域的知名专家、学者、行业领袖作为大赛评委，确保评委阵容的权威性和专业性，专家评审团队≥5人。</w:t>
      </w:r>
    </w:p>
    <w:p w14:paraId="4B55D5F5">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承担评委的差旅费用及相关接待工作，包括机票/车票预订、酒店安排、接送服务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咨询费、劳务费</w:t>
      </w:r>
      <w:r>
        <w:rPr>
          <w:rFonts w:hint="eastAsia" w:ascii="仿宋_GB2312" w:hAnsi="仿宋_GB2312" w:eastAsia="仿宋_GB2312" w:cs="仿宋_GB2312"/>
          <w:sz w:val="32"/>
          <w:szCs w:val="32"/>
        </w:rPr>
        <w:t>等。</w:t>
      </w:r>
    </w:p>
    <w:p w14:paraId="36FDE9D4">
      <w:pPr>
        <w:spacing w:after="0" w:line="579"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2.参赛嘉宾和人员差旅</w:t>
      </w:r>
    </w:p>
    <w:p w14:paraId="49AFE1D8">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本项目的参赛嘉宾为大赛邀请的专家评委、港澳及东盟地区特邀代表，参赛人员为各赛区晋级决赛的选手。</w:t>
      </w:r>
    </w:p>
    <w:p w14:paraId="46002AFA">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承担参赛嘉宾和人员的差旅、接待及住宿等</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w:t>
      </w:r>
    </w:p>
    <w:p w14:paraId="0F7DA52B">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3.赛务保障服务</w:t>
      </w:r>
    </w:p>
    <w:p w14:paraId="62362F1F">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搭建线上沟通平台，配合开展赛事集中培训、解答保障工作，包含培训物料制作发放、线上交流社群搭建维护、线下培训场地布置与后勤保障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并提供安保服务</w:t>
      </w:r>
      <w:r>
        <w:rPr>
          <w:rFonts w:hint="eastAsia" w:ascii="仿宋_GB2312" w:hAnsi="仿宋_GB2312" w:eastAsia="仿宋_GB2312" w:cs="仿宋_GB2312"/>
          <w:sz w:val="32"/>
          <w:szCs w:val="32"/>
        </w:rPr>
        <w:t>等。</w:t>
      </w:r>
    </w:p>
    <w:p w14:paraId="53BAA38F">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4.执行监管服务</w:t>
      </w:r>
    </w:p>
    <w:p w14:paraId="3A2182FC">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完成参赛项目筛选审核、各比赛阶段配合与数据统计，做好赛事过程中的素材收集与成果记录。</w:t>
      </w:r>
    </w:p>
    <w:p w14:paraId="32AAD5D0">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5.主持人服务</w:t>
      </w:r>
    </w:p>
    <w:p w14:paraId="5ED9655A">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挑选具有丰富大型赛事的</w:t>
      </w:r>
      <w:r>
        <w:rPr>
          <w:rFonts w:hint="eastAsia" w:ascii="仿宋_GB2312" w:hAnsi="仿宋_GB2312" w:eastAsia="仿宋_GB2312" w:cs="仿宋_GB2312"/>
          <w:sz w:val="32"/>
          <w:szCs w:val="32"/>
          <w:lang w:val="en-US" w:eastAsia="zh-CN"/>
        </w:rPr>
        <w:t>中、英</w:t>
      </w:r>
      <w:r>
        <w:rPr>
          <w:rFonts w:hint="eastAsia" w:ascii="仿宋_GB2312" w:hAnsi="仿宋_GB2312" w:eastAsia="仿宋_GB2312" w:cs="仿宋_GB2312"/>
          <w:sz w:val="32"/>
          <w:szCs w:val="32"/>
        </w:rPr>
        <w:t>双语主持人，熟悉人工智能和电竞领域，负责大赛各环节主持工作，把控现场节奏。</w:t>
      </w:r>
    </w:p>
    <w:p w14:paraId="551210E6">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6.摄影摄像服务</w:t>
      </w:r>
    </w:p>
    <w:p w14:paraId="311F3447">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安排专业摄影摄像团队，对大赛全程进行高清拍摄和录制，包括选手比赛、嘉宾演讲、互动环节等，为宣传和成果留存提供素材。</w:t>
      </w:r>
    </w:p>
    <w:p w14:paraId="152550C7">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7.参赛项目方案汇编及彩色打印装订</w:t>
      </w:r>
    </w:p>
    <w:p w14:paraId="5398929F">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收集所有参赛项目方案，进行专业排版设计，汇编成精美画册，并完成彩色打印和装订工作，用于评委评审和成果展示。</w:t>
      </w:r>
    </w:p>
    <w:p w14:paraId="1F3DBDAC">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8.场地租赁服务</w:t>
      </w:r>
    </w:p>
    <w:p w14:paraId="1EA23625">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主赛事设置南宁</w:t>
      </w:r>
      <w:r>
        <w:rPr>
          <w:rFonts w:hint="eastAsia" w:ascii="仿宋_GB2312" w:hAnsi="仿宋_GB2312" w:eastAsia="仿宋_GB2312" w:cs="仿宋_GB2312"/>
          <w:sz w:val="32"/>
          <w:szCs w:val="32"/>
          <w:lang w:val="en-US" w:eastAsia="zh-CN"/>
        </w:rPr>
        <w:t>主会场</w:t>
      </w:r>
      <w:r>
        <w:rPr>
          <w:rFonts w:hint="eastAsia" w:ascii="仿宋_GB2312" w:hAnsi="仿宋_GB2312" w:eastAsia="仿宋_GB2312" w:cs="仿宋_GB2312"/>
          <w:sz w:val="32"/>
          <w:szCs w:val="32"/>
        </w:rPr>
        <w:t>、香港/澳门分会场，包含场地勘探、确定档期预留、合同签订等，确保</w:t>
      </w:r>
      <w:r>
        <w:rPr>
          <w:rFonts w:hint="eastAsia" w:ascii="仿宋_GB2312" w:hAnsi="仿宋_GB2312" w:eastAsia="仿宋_GB2312" w:cs="仿宋_GB2312"/>
          <w:sz w:val="32"/>
          <w:szCs w:val="32"/>
          <w:lang w:val="en-US" w:eastAsia="zh-CN"/>
        </w:rPr>
        <w:t>赛事</w:t>
      </w:r>
      <w:r>
        <w:rPr>
          <w:rFonts w:hint="eastAsia" w:ascii="仿宋_GB2312" w:hAnsi="仿宋_GB2312" w:eastAsia="仿宋_GB2312" w:cs="仿宋_GB2312"/>
          <w:sz w:val="32"/>
          <w:szCs w:val="32"/>
        </w:rPr>
        <w:t>顺利开展。</w:t>
      </w:r>
    </w:p>
    <w:p w14:paraId="5003E7EE">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9.赛事现场布置</w:t>
      </w:r>
    </w:p>
    <w:p w14:paraId="40E58208">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负责赛事现场整体布置，包括舞台搭建、灯光音响设备租赁与调试、场地装饰等，营造符合大赛主题的氛围。</w:t>
      </w:r>
    </w:p>
    <w:p w14:paraId="3FBA4E50">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制作赛事所需的物料，如背景板、指引牌、选手号码牌等。</w:t>
      </w:r>
    </w:p>
    <w:p w14:paraId="695B31FF">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10.赛场搭建（舞台、灯光、音响）</w:t>
      </w:r>
    </w:p>
    <w:p w14:paraId="6A99E2CB">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搭建专业的比赛舞台，突出人工智能元素，配备高质量灯光和音响设备，满足赛事和现场观赛需求。</w:t>
      </w:r>
    </w:p>
    <w:p w14:paraId="2C9E79D0">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11.物料搭建（背景板、指引牌、赛区</w:t>
      </w:r>
      <w:r>
        <w:rPr>
          <w:rFonts w:hint="eastAsia" w:ascii="仿宋_GB2312" w:hAnsi="仿宋_GB2312" w:eastAsia="仿宋_GB2312" w:cs="仿宋_GB2312"/>
          <w:b/>
          <w:bCs/>
          <w:sz w:val="32"/>
          <w:szCs w:val="32"/>
          <w:lang w:val="en-US" w:eastAsia="zh-CN"/>
        </w:rPr>
        <w:t>等</w:t>
      </w:r>
      <w:r>
        <w:rPr>
          <w:rFonts w:hint="eastAsia" w:ascii="仿宋_GB2312" w:hAnsi="仿宋_GB2312" w:eastAsia="仿宋_GB2312" w:cs="仿宋_GB2312"/>
          <w:b/>
          <w:bCs/>
          <w:sz w:val="32"/>
          <w:szCs w:val="32"/>
        </w:rPr>
        <w:t>搭建）</w:t>
      </w:r>
    </w:p>
    <w:p w14:paraId="56B3E1E6">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设计并制作各类物料，如背景板用于展示大赛主题等相关信息，指引牌用于引导人员流动，赛区搭建用于划分不同功能区域。</w:t>
      </w:r>
    </w:p>
    <w:p w14:paraId="4DEE1D61">
      <w:pPr>
        <w:numPr>
          <w:ilvl w:val="255"/>
          <w:numId w:val="0"/>
        </w:num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12.现场工作人员及执行人员劳务</w:t>
      </w:r>
    </w:p>
    <w:p w14:paraId="42E9F080">
      <w:pPr>
        <w:numPr>
          <w:ilvl w:val="255"/>
          <w:numId w:val="0"/>
        </w:num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组织现场工作人员和执行人员负责赛事现场秩序维护、选手引导、设备操作、后勤保障等工作，所有人员差旅费用由供应商承担。</w:t>
      </w:r>
    </w:p>
    <w:p w14:paraId="23BC254F">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13.餐饮接待服务</w:t>
      </w:r>
    </w:p>
    <w:p w14:paraId="03F01421">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提供大赛期间工作人员、评委、嘉宾及选手的餐饮服务，根据不同人群的需求制定合理的餐饮方案，确保餐饮的卫生、营养和口感。</w:t>
      </w:r>
    </w:p>
    <w:p w14:paraId="2C40F3F5">
      <w:pPr>
        <w:spacing w:after="0" w:line="579"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（四）成果推介服务</w:t>
      </w:r>
    </w:p>
    <w:p w14:paraId="52DBB9CC">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1.专题宣传</w:t>
      </w:r>
      <w:r>
        <w:rPr>
          <w:rFonts w:hint="default" w:ascii="仿宋_GB2312" w:hAnsi="仿宋_GB2312" w:eastAsia="仿宋_GB2312" w:cs="仿宋_GB2312"/>
          <w:b/>
          <w:bCs/>
          <w:sz w:val="32"/>
          <w:szCs w:val="32"/>
          <w:lang w:val="en-US" w:eastAsia="zh-CN"/>
        </w:rPr>
        <w:t>集锦</w:t>
      </w:r>
      <w:r>
        <w:rPr>
          <w:rFonts w:hint="eastAsia" w:ascii="仿宋_GB2312" w:hAnsi="仿宋_GB2312" w:eastAsia="仿宋_GB2312" w:cs="仿宋_GB2312"/>
          <w:b/>
          <w:bCs/>
          <w:sz w:val="32"/>
          <w:szCs w:val="32"/>
        </w:rPr>
        <w:t>制作</w:t>
      </w:r>
    </w:p>
    <w:p w14:paraId="52739F00">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策划并制作大赛及相关子赛事专题宣传</w:t>
      </w:r>
      <w:r>
        <w:rPr>
          <w:rFonts w:hint="default" w:ascii="仿宋_GB2312" w:hAnsi="仿宋_GB2312" w:eastAsia="仿宋_GB2312" w:cs="仿宋_GB2312"/>
          <w:sz w:val="32"/>
          <w:szCs w:val="32"/>
          <w:lang w:val="en-US" w:eastAsia="zh-CN"/>
        </w:rPr>
        <w:t>集锦</w:t>
      </w:r>
      <w:r>
        <w:rPr>
          <w:rFonts w:hint="eastAsia" w:ascii="仿宋_GB2312" w:hAnsi="仿宋_GB2312" w:eastAsia="仿宋_GB2312" w:cs="仿宋_GB2312"/>
          <w:sz w:val="32"/>
          <w:szCs w:val="32"/>
          <w:highlight w:val="none"/>
          <w:lang w:val="en-US" w:eastAsia="zh-CN"/>
        </w:rPr>
        <w:t>4条，每条时长＞0.5分钟，分辨率1080P</w:t>
      </w:r>
      <w:r>
        <w:rPr>
          <w:rFonts w:hint="eastAsia" w:ascii="仿宋_GB2312" w:hAnsi="仿宋_GB2312" w:eastAsia="仿宋_GB2312" w:cs="仿宋_GB2312"/>
          <w:sz w:val="32"/>
          <w:szCs w:val="32"/>
        </w:rPr>
        <w:t>，对大赛亮点、优秀项目、行业影响等进行深度宣传，提升大赛的社会影响力。</w:t>
      </w:r>
    </w:p>
    <w:p w14:paraId="38A79F50">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2.社交媒体推广</w:t>
      </w:r>
    </w:p>
    <w:p w14:paraId="11979183">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利用主流社交媒体平台，发布大赛精彩瞬间、项目介绍、选手采访等内容，进行广泛推广，提高大赛的关注度和话题度。</w:t>
      </w:r>
    </w:p>
    <w:p w14:paraId="7EB61312">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3.提交媒体推广宣传精彩集锦</w:t>
      </w:r>
    </w:p>
    <w:p w14:paraId="2A069A7E">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整理大赛期间所有媒体宣传内容，包括图片、视频、</w:t>
      </w:r>
      <w:r>
        <w:rPr>
          <w:rFonts w:hint="eastAsia" w:ascii="仿宋_GB2312" w:hAnsi="仿宋_GB2312" w:eastAsia="仿宋_GB2312" w:cs="仿宋_GB2312"/>
          <w:sz w:val="32"/>
          <w:szCs w:val="32"/>
          <w:lang w:val="en-US" w:eastAsia="zh-CN"/>
        </w:rPr>
        <w:t>官方</w:t>
      </w:r>
      <w:r>
        <w:rPr>
          <w:rFonts w:hint="eastAsia" w:ascii="仿宋_GB2312" w:hAnsi="仿宋_GB2312" w:eastAsia="仿宋_GB2312" w:cs="仿宋_GB2312"/>
          <w:sz w:val="32"/>
          <w:szCs w:val="32"/>
        </w:rPr>
        <w:t>新闻</w:t>
      </w:r>
      <w:r>
        <w:rPr>
          <w:rFonts w:hint="eastAsia" w:ascii="仿宋_GB2312" w:hAnsi="仿宋_GB2312" w:eastAsia="仿宋_GB2312" w:cs="仿宋_GB2312"/>
          <w:sz w:val="32"/>
          <w:szCs w:val="32"/>
          <w:lang w:val="en-US" w:eastAsia="zh-CN"/>
        </w:rPr>
        <w:t>通稿1篇</w:t>
      </w:r>
      <w:r>
        <w:rPr>
          <w:rFonts w:hint="eastAsia" w:ascii="仿宋_GB2312" w:hAnsi="仿宋_GB2312" w:eastAsia="仿宋_GB2312" w:cs="仿宋_GB2312"/>
          <w:sz w:val="32"/>
          <w:szCs w:val="32"/>
        </w:rPr>
        <w:t>等，用于后续的成果展示和宣传推广。</w:t>
      </w:r>
    </w:p>
    <w:p w14:paraId="5A619E7A">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4.平台直播</w:t>
      </w:r>
    </w:p>
    <w:p w14:paraId="6E098BD4">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负责大赛直播，选择</w:t>
      </w:r>
      <w:r>
        <w:rPr>
          <w:rFonts w:hint="eastAsia" w:ascii="仿宋_GB2312" w:hAnsi="仿宋_GB2312" w:eastAsia="仿宋_GB2312" w:cs="仿宋_GB2312"/>
          <w:sz w:val="32"/>
          <w:szCs w:val="32"/>
          <w:highlight w:val="none"/>
          <w:lang w:val="en-US" w:eastAsia="zh-CN"/>
        </w:rPr>
        <w:t>新华网、斗鱼、抖音等</w:t>
      </w:r>
      <w:r>
        <w:rPr>
          <w:rFonts w:hint="eastAsia" w:ascii="仿宋_GB2312" w:hAnsi="仿宋_GB2312" w:eastAsia="仿宋_GB2312" w:cs="仿宋_GB2312"/>
          <w:sz w:val="32"/>
          <w:szCs w:val="32"/>
        </w:rPr>
        <w:t>专业直播平台进行直播，提供专业的直播设备和技术支持，确保直播的流畅性和高清画质。</w:t>
      </w:r>
    </w:p>
    <w:p w14:paraId="7F46383A">
      <w:pPr>
        <w:spacing w:after="0" w:line="579"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安排专业的直播导播团队，负责直播内容的策划、画面切换、弹幕互动等。</w:t>
      </w:r>
      <w:r>
        <w:rPr>
          <w:rFonts w:hint="eastAsia" w:ascii="仿宋_GB2312" w:hAnsi="仿宋_GB2312" w:eastAsia="仿宋_GB2312" w:cs="仿宋_GB2312"/>
          <w:sz w:val="32"/>
          <w:szCs w:val="32"/>
          <w:highlight w:val="none"/>
          <w:lang w:val="en-US" w:eastAsia="zh-CN"/>
        </w:rPr>
        <w:t>协调直播网络专线，直播带宽上下行100M,画质蓝光8M。</w:t>
      </w:r>
    </w:p>
    <w:p w14:paraId="43E7FEC8">
      <w:pPr>
        <w:spacing w:after="0" w:line="579" w:lineRule="exact"/>
        <w:ind w:firstLine="640" w:firstLineChars="2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（五）配套活动（颁奖、对接会、展览服务）</w:t>
      </w:r>
    </w:p>
    <w:p w14:paraId="36262648">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1.奖杯/奖状制作</w:t>
      </w:r>
    </w:p>
    <w:p w14:paraId="70977A03">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设计并制作具有创意和纪念意义的奖杯/奖状，奖杯/奖状需体现“人工智能+电竞”元素，材质优良，工艺精湛，设计美观。</w:t>
      </w:r>
    </w:p>
    <w:p w14:paraId="7E30A778">
      <w:pPr>
        <w:spacing w:after="0" w:line="579" w:lineRule="exact"/>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.证书制作</w:t>
      </w:r>
    </w:p>
    <w:p w14:paraId="2B959377">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制作大赛获奖证书、参与证书等，证书设计需规范、美观，体现大赛专业性和权威性。</w:t>
      </w:r>
    </w:p>
    <w:p w14:paraId="24471339">
      <w:pPr>
        <w:spacing w:after="0" w:line="579" w:lineRule="exact"/>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.颁奖礼仪服务</w:t>
      </w:r>
    </w:p>
    <w:p w14:paraId="55B94720">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安排专业的颁奖礼仪人员，负责大赛颁奖环节的礼仪工作，包括奖杯和证书的传递、嘉宾引导等。</w:t>
      </w:r>
    </w:p>
    <w:p w14:paraId="3FEA7329">
      <w:pPr>
        <w:spacing w:after="0" w:line="579" w:lineRule="exact"/>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.选手服务</w:t>
      </w:r>
    </w:p>
    <w:p w14:paraId="2050D240">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提供选手在赛事期间的其他相关服务，如休息区布置、饮用水供应等。</w:t>
      </w:r>
    </w:p>
    <w:p w14:paraId="579E995F">
      <w:pPr>
        <w:spacing w:after="0" w:line="579" w:lineRule="exact"/>
        <w:ind w:firstLine="643" w:firstLineChars="200"/>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.会议室及观赛室布置</w:t>
      </w:r>
    </w:p>
    <w:p w14:paraId="7A6EAD39">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负责会议室和观赛室的布置工作，包括桌椅摆放、设备安装、环境装饰等，为会议和观赛提供舒适的环境。</w:t>
      </w:r>
    </w:p>
    <w:p w14:paraId="75D9994C">
      <w:pPr>
        <w:spacing w:after="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设备</w:t>
      </w:r>
      <w:r>
        <w:rPr>
          <w:rFonts w:hint="eastAsia" w:ascii="仿宋_GB2312" w:hAnsi="仿宋_GB2312" w:eastAsia="仿宋_GB2312" w:cs="仿宋_GB2312"/>
          <w:b/>
          <w:bCs/>
          <w:sz w:val="32"/>
          <w:szCs w:val="32"/>
        </w:rPr>
        <w:t>运输（往返）</w:t>
      </w:r>
    </w:p>
    <w:p w14:paraId="37DAF249">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负责大赛所需设备、物料的运输工作，包括从仓库到场地的往返运输，确保物资按时、安全送达。</w:t>
      </w:r>
    </w:p>
    <w:p w14:paraId="05F15A42">
      <w:pPr>
        <w:spacing w:after="0" w:line="579"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（六）服务要求</w:t>
      </w:r>
    </w:p>
    <w:p w14:paraId="0EBFAAF3">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赛事时效要求：</w:t>
      </w:r>
      <w:r>
        <w:rPr>
          <w:rFonts w:hint="eastAsia" w:ascii="仿宋_GB2312" w:hAnsi="仿宋_GB2312" w:eastAsia="仿宋_GB2312" w:cs="仿宋_GB2312"/>
          <w:sz w:val="32"/>
          <w:szCs w:val="32"/>
        </w:rPr>
        <w:t>供应商须严格按照赛事总体周期完成全部赛事组织实施工作，确保赛事各环节衔接顺畅、按时推进，不得擅自延期、压缩赛程或影响赛事正常举办。</w:t>
      </w:r>
    </w:p>
    <w:p w14:paraId="081377B8">
      <w:pPr>
        <w:numPr>
          <w:ilvl w:val="-1"/>
          <w:numId w:val="0"/>
        </w:numPr>
        <w:spacing w:after="0" w:afterLines="0" w:line="579"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初赛阶段</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赛事初选环节，供应商负责制定科学、公平、规范的初赛评审标准，组织完成报名审核、作品/项目初评、结果公示等工作。</w:t>
      </w:r>
    </w:p>
    <w:p w14:paraId="7D7B4396">
      <w:pPr>
        <w:numPr>
          <w:ilvl w:val="-1"/>
          <w:numId w:val="0"/>
        </w:numPr>
        <w:spacing w:after="0" w:afterLines="0" w:line="579"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（2）决赛阶段：</w:t>
      </w:r>
      <w:r>
        <w:rPr>
          <w:rFonts w:hint="eastAsia" w:ascii="仿宋_GB2312" w:hAnsi="仿宋_GB2312" w:eastAsia="仿宋_GB2312" w:cs="仿宋_GB2312"/>
          <w:sz w:val="32"/>
          <w:szCs w:val="32"/>
        </w:rPr>
        <w:t>供应商须完成总决赛现场策划、场地布置、流程执行、评委组织、现场保障、颁奖仪式等全流程工作。决赛须突出赛事专业性与仪式感，保障现场秩序、安全及直播录播</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eastAsia="zh-CN"/>
        </w:rPr>
        <w:t>。</w:t>
      </w:r>
    </w:p>
    <w:p w14:paraId="26C27DF4">
      <w:pPr>
        <w:numPr>
          <w:ilvl w:val="0"/>
          <w:numId w:val="0"/>
        </w:numPr>
        <w:spacing w:after="0" w:afterLines="0" w:line="579" w:lineRule="exact"/>
        <w:ind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（3）时间安排：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2287"/>
        <w:gridCol w:w="4465"/>
      </w:tblGrid>
      <w:tr w14:paraId="040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blHeader/>
        </w:trPr>
        <w:tc>
          <w:tcPr>
            <w:tcW w:w="1770" w:type="dxa"/>
            <w:vAlign w:val="center"/>
          </w:tcPr>
          <w:p w14:paraId="7011E752">
            <w:pPr>
              <w:numPr>
                <w:ilvl w:val="-1"/>
                <w:numId w:val="0"/>
              </w:numPr>
              <w:spacing w:after="0" w:line="240" w:lineRule="auto"/>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赛事阶段</w:t>
            </w:r>
          </w:p>
        </w:tc>
        <w:tc>
          <w:tcPr>
            <w:tcW w:w="2287" w:type="dxa"/>
            <w:vAlign w:val="center"/>
          </w:tcPr>
          <w:p w14:paraId="532A8D4B">
            <w:pPr>
              <w:numPr>
                <w:ilvl w:val="-1"/>
                <w:numId w:val="0"/>
              </w:numPr>
              <w:spacing w:after="0" w:line="240" w:lineRule="auto"/>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预计时间</w:t>
            </w:r>
          </w:p>
        </w:tc>
        <w:tc>
          <w:tcPr>
            <w:tcW w:w="4465" w:type="dxa"/>
            <w:vAlign w:val="center"/>
          </w:tcPr>
          <w:p w14:paraId="7B23F209">
            <w:pPr>
              <w:numPr>
                <w:ilvl w:val="-1"/>
                <w:numId w:val="0"/>
              </w:numPr>
              <w:spacing w:after="0" w:line="240" w:lineRule="auto"/>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主要工作内容</w:t>
            </w:r>
          </w:p>
        </w:tc>
      </w:tr>
      <w:tr w14:paraId="1142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1770" w:type="dxa"/>
            <w:vAlign w:val="center"/>
          </w:tcPr>
          <w:p w14:paraId="339CAEEC">
            <w:pPr>
              <w:numPr>
                <w:ilvl w:val="-1"/>
                <w:numId w:val="0"/>
              </w:numPr>
              <w:spacing w:after="0" w:line="240" w:lineRule="auto"/>
              <w:jc w:val="center"/>
              <w:rPr>
                <w:rFonts w:hint="default" w:ascii="仿宋_GB2312" w:hAnsi="仿宋_GB2312" w:eastAsia="仿宋_GB2312" w:cs="仿宋_GB2312"/>
                <w:sz w:val="24"/>
                <w:szCs w:val="24"/>
                <w:vertAlign w:val="baseline"/>
                <w:lang w:val="en-US" w:eastAsia="zh-CN"/>
              </w:rPr>
            </w:pPr>
            <w:r>
              <w:rPr>
                <w:rFonts w:hint="eastAsia" w:ascii="Times New Roman" w:hAnsi="Times New Roman" w:eastAsia="方正楷体_GBK"/>
                <w:snapToGrid w:val="0"/>
                <w:color w:val="auto"/>
                <w:sz w:val="24"/>
                <w:szCs w:val="24"/>
                <w:lang w:val="en-US" w:eastAsia="zh-CN" w:bidi="ar"/>
              </w:rPr>
              <w:t>宣传报名阶段</w:t>
            </w:r>
          </w:p>
        </w:tc>
        <w:tc>
          <w:tcPr>
            <w:tcW w:w="2287" w:type="dxa"/>
            <w:vAlign w:val="center"/>
          </w:tcPr>
          <w:p w14:paraId="169AB3EB">
            <w:pPr>
              <w:numPr>
                <w:ilvl w:val="-1"/>
                <w:numId w:val="0"/>
              </w:numPr>
              <w:spacing w:after="0" w:line="240" w:lineRule="auto"/>
              <w:jc w:val="center"/>
              <w:rPr>
                <w:rFonts w:hint="default" w:ascii="仿宋_GB2312" w:hAnsi="仿宋_GB2312" w:eastAsia="仿宋_GB2312" w:cs="仿宋_GB2312"/>
                <w:sz w:val="24"/>
                <w:szCs w:val="24"/>
                <w:vertAlign w:val="baseline"/>
                <w:lang w:val="en-US" w:eastAsia="zh-CN"/>
              </w:rPr>
            </w:pPr>
            <w:r>
              <w:rPr>
                <w:rFonts w:hint="eastAsia" w:ascii="Times New Roman" w:hAnsi="Times New Roman" w:eastAsia="方正楷体_GBK"/>
                <w:snapToGrid w:val="0"/>
                <w:color w:val="auto"/>
                <w:sz w:val="24"/>
                <w:szCs w:val="24"/>
                <w:lang w:val="en-US" w:eastAsia="zh-CN" w:bidi="ar"/>
              </w:rPr>
              <w:t>2026年5月</w:t>
            </w:r>
          </w:p>
        </w:tc>
        <w:tc>
          <w:tcPr>
            <w:tcW w:w="4465" w:type="dxa"/>
            <w:vAlign w:val="center"/>
          </w:tcPr>
          <w:p w14:paraId="4CAB81AB">
            <w:pPr>
              <w:numPr>
                <w:ilvl w:val="0"/>
                <w:numId w:val="0"/>
              </w:numPr>
              <w:adjustRightInd w:val="0"/>
              <w:snapToGrid w:val="0"/>
              <w:spacing w:after="0" w:line="240" w:lineRule="auto"/>
              <w:ind w:firstLine="0" w:firstLineChars="0"/>
              <w:jc w:val="both"/>
              <w:rPr>
                <w:rFonts w:hint="default" w:ascii="仿宋_GB2312" w:hAnsi="仿宋_GB2312" w:eastAsia="仿宋_GB2312" w:cs="仿宋_GB2312"/>
                <w:sz w:val="24"/>
                <w:szCs w:val="24"/>
                <w:vertAlign w:val="baseline"/>
                <w:lang w:val="en-US" w:eastAsia="zh-CN"/>
              </w:rPr>
            </w:pPr>
            <w:r>
              <w:rPr>
                <w:rFonts w:hint="eastAsia" w:ascii="Times New Roman" w:hAnsi="Times New Roman" w:eastAsia="方正仿宋_GBK" w:cs="仿宋_GB2312"/>
                <w:snapToGrid w:val="0"/>
                <w:sz w:val="24"/>
                <w:szCs w:val="24"/>
                <w:lang w:val="en-US" w:eastAsia="zh-CN"/>
              </w:rPr>
              <w:t>进行赛前预热宣传，</w:t>
            </w:r>
            <w:r>
              <w:rPr>
                <w:rFonts w:hint="eastAsia" w:ascii="Times New Roman" w:hAnsi="Times New Roman" w:eastAsia="方正仿宋_GBK" w:cs="仿宋_GB2312"/>
                <w:snapToGrid w:val="0"/>
                <w:sz w:val="24"/>
                <w:szCs w:val="24"/>
              </w:rPr>
              <w:t>精准触达目标参赛群体，征集优质创新项目</w:t>
            </w:r>
            <w:r>
              <w:rPr>
                <w:rFonts w:hint="eastAsia" w:ascii="Times New Roman" w:hAnsi="Times New Roman" w:eastAsia="方正仿宋_GBK" w:cs="仿宋_GB2312"/>
                <w:snapToGrid w:val="0"/>
                <w:sz w:val="24"/>
                <w:szCs w:val="24"/>
                <w:lang w:eastAsia="zh-CN"/>
              </w:rPr>
              <w:t>。</w:t>
            </w:r>
            <w:r>
              <w:rPr>
                <w:rFonts w:hint="eastAsia" w:ascii="Times New Roman" w:hAnsi="Times New Roman" w:eastAsia="方正仿宋_GBK" w:cs="仿宋_GB2312"/>
                <w:snapToGrid w:val="0"/>
                <w:sz w:val="24"/>
                <w:szCs w:val="24"/>
                <w:lang w:val="en-US" w:eastAsia="zh-CN"/>
              </w:rPr>
              <w:t>发布大赛通知和规则，开放线上报名渠道，接受参赛团队报名。</w:t>
            </w:r>
          </w:p>
        </w:tc>
      </w:tr>
      <w:tr w14:paraId="5316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70" w:type="dxa"/>
            <w:vAlign w:val="center"/>
          </w:tcPr>
          <w:p w14:paraId="66C248CC">
            <w:pPr>
              <w:numPr>
                <w:ilvl w:val="-1"/>
                <w:numId w:val="0"/>
              </w:numPr>
              <w:spacing w:after="0" w:line="240" w:lineRule="auto"/>
              <w:jc w:val="center"/>
              <w:rPr>
                <w:rFonts w:ascii="Times New Roman" w:hAnsi="Times New Roman" w:eastAsia="方正楷体_GBK"/>
                <w:snapToGrid w:val="0"/>
                <w:sz w:val="24"/>
                <w:szCs w:val="24"/>
                <w:lang w:bidi="ar"/>
              </w:rPr>
            </w:pPr>
            <w:r>
              <w:rPr>
                <w:rFonts w:hint="eastAsia" w:ascii="Times New Roman" w:hAnsi="Times New Roman" w:eastAsia="方正楷体_GBK"/>
                <w:snapToGrid w:val="0"/>
                <w:sz w:val="24"/>
                <w:szCs w:val="24"/>
                <w:lang w:val="en-US" w:eastAsia="zh-CN" w:bidi="ar"/>
              </w:rPr>
              <w:t>初赛阶段</w:t>
            </w:r>
          </w:p>
        </w:tc>
        <w:tc>
          <w:tcPr>
            <w:tcW w:w="2287" w:type="dxa"/>
            <w:vAlign w:val="center"/>
          </w:tcPr>
          <w:p w14:paraId="40C80BD7">
            <w:pPr>
              <w:numPr>
                <w:ilvl w:val="-1"/>
                <w:numId w:val="0"/>
              </w:numPr>
              <w:spacing w:after="0" w:line="240" w:lineRule="auto"/>
              <w:jc w:val="center"/>
              <w:rPr>
                <w:rFonts w:hint="default" w:ascii="Times New Roman" w:hAnsi="Times New Roman" w:eastAsia="方正楷体_GBK"/>
                <w:snapToGrid w:val="0"/>
                <w:color w:val="auto"/>
                <w:sz w:val="24"/>
                <w:szCs w:val="24"/>
                <w:lang w:val="en-US" w:eastAsia="zh-CN" w:bidi="ar"/>
              </w:rPr>
            </w:pPr>
            <w:r>
              <w:rPr>
                <w:rFonts w:ascii="Times New Roman" w:hAnsi="Times New Roman" w:eastAsia="方正楷体_GBK"/>
                <w:snapToGrid w:val="0"/>
                <w:sz w:val="24"/>
                <w:szCs w:val="24"/>
                <w:lang w:bidi="ar"/>
              </w:rPr>
              <w:t>202</w:t>
            </w:r>
            <w:r>
              <w:rPr>
                <w:rFonts w:hint="eastAsia" w:ascii="Times New Roman" w:hAnsi="Times New Roman" w:eastAsia="方正楷体_GBK"/>
                <w:snapToGrid w:val="0"/>
                <w:sz w:val="24"/>
                <w:szCs w:val="24"/>
                <w:lang w:val="en-US" w:eastAsia="zh-CN" w:bidi="ar"/>
              </w:rPr>
              <w:t>6</w:t>
            </w:r>
            <w:r>
              <w:rPr>
                <w:rFonts w:ascii="Times New Roman" w:hAnsi="Times New Roman" w:eastAsia="方正楷体_GBK"/>
                <w:snapToGrid w:val="0"/>
                <w:sz w:val="24"/>
                <w:szCs w:val="24"/>
                <w:lang w:bidi="ar"/>
              </w:rPr>
              <w:t>年</w:t>
            </w:r>
            <w:r>
              <w:rPr>
                <w:rFonts w:hint="eastAsia" w:ascii="Times New Roman" w:hAnsi="Times New Roman" w:eastAsia="方正楷体_GBK"/>
                <w:snapToGrid w:val="0"/>
                <w:sz w:val="24"/>
                <w:szCs w:val="24"/>
                <w:lang w:val="en-US" w:eastAsia="zh-CN" w:bidi="ar"/>
              </w:rPr>
              <w:t>6</w:t>
            </w:r>
            <w:r>
              <w:rPr>
                <w:rFonts w:ascii="Times New Roman" w:hAnsi="Times New Roman" w:eastAsia="方正楷体_GBK"/>
                <w:snapToGrid w:val="0"/>
                <w:sz w:val="24"/>
                <w:szCs w:val="24"/>
                <w:lang w:bidi="ar"/>
              </w:rPr>
              <w:t>月</w:t>
            </w:r>
            <w:r>
              <w:rPr>
                <w:rFonts w:hint="eastAsia" w:ascii="Times New Roman" w:hAnsi="Times New Roman" w:eastAsia="方正楷体_GBK"/>
                <w:snapToGrid w:val="0"/>
                <w:sz w:val="24"/>
                <w:szCs w:val="24"/>
                <w:lang w:val="en-US" w:eastAsia="zh-CN" w:bidi="ar"/>
              </w:rPr>
              <w:t>-7月</w:t>
            </w:r>
          </w:p>
        </w:tc>
        <w:tc>
          <w:tcPr>
            <w:tcW w:w="4465" w:type="dxa"/>
            <w:vAlign w:val="center"/>
          </w:tcPr>
          <w:p w14:paraId="420A8C2F">
            <w:pPr>
              <w:numPr>
                <w:ilvl w:val="0"/>
                <w:numId w:val="0"/>
              </w:numPr>
              <w:adjustRightInd w:val="0"/>
              <w:snapToGrid w:val="0"/>
              <w:spacing w:after="0" w:line="240" w:lineRule="auto"/>
              <w:jc w:val="both"/>
              <w:rPr>
                <w:rFonts w:hint="eastAsia" w:ascii="Times New Roman" w:hAnsi="Times New Roman" w:eastAsia="方正仿宋_GBK" w:cs="仿宋_GB2312"/>
                <w:snapToGrid w:val="0"/>
                <w:sz w:val="24"/>
                <w:szCs w:val="24"/>
                <w:vertAlign w:val="baseline"/>
                <w:lang w:val="en-US" w:eastAsia="zh-CN"/>
              </w:rPr>
            </w:pPr>
            <w:r>
              <w:rPr>
                <w:rFonts w:hint="eastAsia" w:ascii="Times New Roman" w:hAnsi="Times New Roman" w:eastAsia="方正仿宋_GBK" w:cs="仿宋_GB2312"/>
                <w:snapToGrid w:val="0"/>
                <w:sz w:val="24"/>
              </w:rPr>
              <w:t>参赛团队准备参赛材料</w:t>
            </w:r>
            <w:r>
              <w:rPr>
                <w:rFonts w:hint="eastAsia" w:ascii="Times New Roman" w:hAnsi="Times New Roman" w:eastAsia="方正仿宋_GBK" w:cs="仿宋_GB2312"/>
                <w:snapToGrid w:val="0"/>
                <w:sz w:val="24"/>
                <w:lang w:eastAsia="zh-CN"/>
              </w:rPr>
              <w:t>。</w:t>
            </w:r>
            <w:r>
              <w:rPr>
                <w:rFonts w:hint="eastAsia" w:ascii="Times New Roman" w:hAnsi="Times New Roman" w:eastAsia="方正仿宋_GBK" w:cs="仿宋_GB2312"/>
                <w:snapToGrid w:val="0"/>
                <w:sz w:val="24"/>
                <w:lang w:val="en-US" w:eastAsia="zh-CN"/>
              </w:rPr>
              <w:t>评审组</w:t>
            </w:r>
            <w:r>
              <w:rPr>
                <w:rFonts w:hint="eastAsia" w:ascii="Times New Roman" w:hAnsi="Times New Roman" w:eastAsia="方正仿宋_GBK" w:cs="仿宋_GB2312"/>
                <w:snapToGrid w:val="0"/>
                <w:sz w:val="24"/>
              </w:rPr>
              <w:t>对参赛项目进行初审，筛选出晋级</w:t>
            </w:r>
            <w:r>
              <w:rPr>
                <w:rFonts w:hint="eastAsia" w:ascii="Times New Roman" w:hAnsi="Times New Roman" w:eastAsia="方正仿宋_GBK" w:cs="仿宋_GB2312"/>
                <w:snapToGrid w:val="0"/>
                <w:sz w:val="24"/>
                <w:lang w:val="en-US" w:eastAsia="zh-CN"/>
              </w:rPr>
              <w:t>队伍</w:t>
            </w:r>
            <w:r>
              <w:rPr>
                <w:rFonts w:hint="eastAsia" w:ascii="Times New Roman" w:hAnsi="Times New Roman" w:eastAsia="方正仿宋_GBK" w:cs="仿宋_GB2312"/>
                <w:snapToGrid w:val="0"/>
                <w:sz w:val="24"/>
                <w:lang w:eastAsia="zh-CN"/>
              </w:rPr>
              <w:t>。</w:t>
            </w:r>
          </w:p>
        </w:tc>
      </w:tr>
      <w:tr w14:paraId="18F0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770" w:type="dxa"/>
            <w:vAlign w:val="center"/>
          </w:tcPr>
          <w:p w14:paraId="075708B3">
            <w:pPr>
              <w:numPr>
                <w:ilvl w:val="-1"/>
                <w:numId w:val="0"/>
              </w:numPr>
              <w:spacing w:after="0" w:line="240" w:lineRule="auto"/>
              <w:jc w:val="center"/>
              <w:rPr>
                <w:rFonts w:hint="eastAsia" w:ascii="Times New Roman" w:hAnsi="Times New Roman" w:eastAsia="方正楷体_GBK"/>
                <w:snapToGrid w:val="0"/>
                <w:sz w:val="24"/>
                <w:lang w:val="en-US" w:eastAsia="zh-CN" w:bidi="ar"/>
              </w:rPr>
            </w:pPr>
            <w:r>
              <w:rPr>
                <w:rFonts w:hint="eastAsia" w:ascii="Times New Roman" w:hAnsi="Times New Roman" w:eastAsia="方正楷体_GBK"/>
                <w:snapToGrid w:val="0"/>
                <w:sz w:val="24"/>
                <w:lang w:bidi="ar"/>
              </w:rPr>
              <w:t>决赛</w:t>
            </w:r>
            <w:r>
              <w:rPr>
                <w:rFonts w:hint="eastAsia" w:ascii="Times New Roman" w:hAnsi="Times New Roman" w:eastAsia="方正楷体_GBK"/>
                <w:snapToGrid w:val="0"/>
                <w:sz w:val="24"/>
                <w:lang w:val="en-US" w:eastAsia="zh-CN" w:bidi="ar"/>
              </w:rPr>
              <w:t>阶段</w:t>
            </w:r>
          </w:p>
        </w:tc>
        <w:tc>
          <w:tcPr>
            <w:tcW w:w="2287" w:type="dxa"/>
            <w:vAlign w:val="center"/>
          </w:tcPr>
          <w:p w14:paraId="49966ADB">
            <w:pPr>
              <w:numPr>
                <w:ilvl w:val="-1"/>
                <w:numId w:val="0"/>
              </w:numPr>
              <w:spacing w:after="0" w:line="240" w:lineRule="auto"/>
              <w:jc w:val="center"/>
              <w:rPr>
                <w:rFonts w:hint="default" w:ascii="Times New Roman" w:hAnsi="Times New Roman" w:eastAsia="方正楷体_GBK"/>
                <w:snapToGrid w:val="0"/>
                <w:color w:val="auto"/>
                <w:sz w:val="24"/>
                <w:lang w:val="en-US" w:eastAsia="zh-CN" w:bidi="ar"/>
              </w:rPr>
            </w:pPr>
            <w:r>
              <w:rPr>
                <w:rFonts w:hint="eastAsia" w:ascii="Times New Roman" w:hAnsi="Times New Roman" w:eastAsia="方正楷体_GBK"/>
                <w:snapToGrid w:val="0"/>
                <w:color w:val="auto"/>
                <w:sz w:val="24"/>
                <w:lang w:bidi="ar"/>
              </w:rPr>
              <w:t>2026年7月</w:t>
            </w:r>
            <w:r>
              <w:rPr>
                <w:rFonts w:hint="eastAsia" w:ascii="Times New Roman" w:hAnsi="Times New Roman" w:eastAsia="方正楷体_GBK"/>
                <w:snapToGrid w:val="0"/>
                <w:color w:val="auto"/>
                <w:sz w:val="24"/>
                <w:lang w:val="en-US" w:eastAsia="zh-CN" w:bidi="ar"/>
              </w:rPr>
              <w:t>-8月</w:t>
            </w:r>
          </w:p>
        </w:tc>
        <w:tc>
          <w:tcPr>
            <w:tcW w:w="4465" w:type="dxa"/>
            <w:vAlign w:val="center"/>
          </w:tcPr>
          <w:p w14:paraId="7B745716">
            <w:pPr>
              <w:numPr>
                <w:ilvl w:val="0"/>
                <w:numId w:val="0"/>
              </w:numPr>
              <w:adjustRightInd w:val="0"/>
              <w:snapToGrid w:val="0"/>
              <w:spacing w:after="0" w:line="240" w:lineRule="auto"/>
              <w:rPr>
                <w:rFonts w:hint="eastAsia" w:ascii="Times New Roman" w:hAnsi="Times New Roman" w:eastAsia="方正仿宋_GBK" w:cs="仿宋_GB2312"/>
                <w:snapToGrid w:val="0"/>
                <w:sz w:val="24"/>
              </w:rPr>
            </w:pPr>
            <w:r>
              <w:rPr>
                <w:rFonts w:hint="eastAsia" w:ascii="Times New Roman" w:hAnsi="Times New Roman" w:eastAsia="方正仿宋_GBK" w:cs="仿宋_GB2312"/>
                <w:snapToGrid w:val="0"/>
                <w:sz w:val="24"/>
              </w:rPr>
              <w:t>决赛评审</w:t>
            </w:r>
            <w:r>
              <w:rPr>
                <w:rFonts w:hint="eastAsia" w:ascii="Times New Roman" w:hAnsi="Times New Roman" w:eastAsia="方正仿宋_GBK" w:cs="仿宋_GB2312"/>
                <w:snapToGrid w:val="0"/>
                <w:sz w:val="24"/>
                <w:lang w:val="en-US" w:eastAsia="zh-CN"/>
              </w:rPr>
              <w:t>阶段</w:t>
            </w:r>
            <w:r>
              <w:rPr>
                <w:rFonts w:hint="eastAsia" w:ascii="Times New Roman" w:hAnsi="Times New Roman" w:eastAsia="方正仿宋_GBK" w:cs="仿宋_GB2312"/>
                <w:snapToGrid w:val="0"/>
                <w:sz w:val="24"/>
              </w:rPr>
              <w:t>，</w:t>
            </w:r>
            <w:r>
              <w:rPr>
                <w:rFonts w:hint="eastAsia" w:ascii="Times New Roman" w:hAnsi="Times New Roman" w:eastAsia="方正仿宋_GBK" w:cs="仿宋_GB2312"/>
                <w:snapToGrid w:val="0"/>
                <w:sz w:val="24"/>
                <w:lang w:val="en-US" w:eastAsia="zh-CN"/>
              </w:rPr>
              <w:t>晋级队伍</w:t>
            </w:r>
            <w:r>
              <w:rPr>
                <w:rFonts w:hint="eastAsia" w:ascii="Times New Roman" w:hAnsi="Times New Roman" w:eastAsia="方正仿宋_GBK" w:cs="仿宋_GB2312"/>
                <w:snapToGrid w:val="0"/>
                <w:sz w:val="24"/>
              </w:rPr>
              <w:t>展示项目成果，评委现场打分，评选出各奖项。</w:t>
            </w:r>
          </w:p>
        </w:tc>
      </w:tr>
      <w:tr w14:paraId="50E9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blHeader/>
        </w:trPr>
        <w:tc>
          <w:tcPr>
            <w:tcW w:w="1770" w:type="dxa"/>
            <w:vAlign w:val="center"/>
          </w:tcPr>
          <w:p w14:paraId="61ACD31A">
            <w:pPr>
              <w:numPr>
                <w:ilvl w:val="-1"/>
                <w:numId w:val="0"/>
              </w:numPr>
              <w:spacing w:after="0" w:line="240" w:lineRule="auto"/>
              <w:jc w:val="center"/>
              <w:rPr>
                <w:rFonts w:hint="eastAsia" w:ascii="Times New Roman" w:hAnsi="Times New Roman" w:eastAsia="方正楷体_GBK"/>
                <w:snapToGrid w:val="0"/>
                <w:sz w:val="24"/>
                <w:lang w:bidi="ar"/>
              </w:rPr>
            </w:pPr>
            <w:r>
              <w:rPr>
                <w:rFonts w:hint="eastAsia" w:ascii="Times New Roman" w:hAnsi="Times New Roman" w:eastAsia="方正楷体_GBK"/>
                <w:snapToGrid w:val="0"/>
                <w:sz w:val="24"/>
                <w:lang w:bidi="ar"/>
              </w:rPr>
              <w:t>颁奖暨</w:t>
            </w:r>
            <w:r>
              <w:rPr>
                <w:rFonts w:hint="eastAsia" w:ascii="Times New Roman" w:hAnsi="Times New Roman" w:eastAsia="方正楷体_GBK"/>
                <w:snapToGrid w:val="0"/>
                <w:sz w:val="24"/>
                <w:lang w:val="en-US" w:eastAsia="zh-CN" w:bidi="ar"/>
              </w:rPr>
              <w:t>后续</w:t>
            </w:r>
            <w:r>
              <w:rPr>
                <w:rFonts w:hint="eastAsia" w:ascii="Times New Roman" w:hAnsi="Times New Roman" w:eastAsia="方正楷体_GBK"/>
                <w:snapToGrid w:val="0"/>
                <w:sz w:val="24"/>
                <w:lang w:bidi="ar"/>
              </w:rPr>
              <w:t>成果推介</w:t>
            </w:r>
          </w:p>
        </w:tc>
        <w:tc>
          <w:tcPr>
            <w:tcW w:w="2287" w:type="dxa"/>
            <w:vAlign w:val="center"/>
          </w:tcPr>
          <w:p w14:paraId="5961C427">
            <w:pPr>
              <w:numPr>
                <w:ilvl w:val="-1"/>
                <w:numId w:val="0"/>
              </w:numPr>
              <w:spacing w:after="0" w:line="240" w:lineRule="auto"/>
              <w:jc w:val="center"/>
              <w:rPr>
                <w:rFonts w:hint="eastAsia" w:ascii="Times New Roman" w:hAnsi="Times New Roman" w:eastAsia="方正楷体_GBK"/>
                <w:snapToGrid w:val="0"/>
                <w:color w:val="auto"/>
                <w:sz w:val="24"/>
                <w:lang w:bidi="ar"/>
              </w:rPr>
            </w:pPr>
            <w:r>
              <w:rPr>
                <w:rFonts w:hint="eastAsia" w:ascii="Times New Roman" w:hAnsi="Times New Roman" w:eastAsia="方正楷体_GBK"/>
                <w:snapToGrid w:val="0"/>
                <w:color w:val="auto"/>
                <w:sz w:val="24"/>
                <w:lang w:bidi="ar"/>
              </w:rPr>
              <w:t>2026年</w:t>
            </w:r>
            <w:r>
              <w:rPr>
                <w:rFonts w:hint="eastAsia" w:ascii="Times New Roman" w:hAnsi="Times New Roman" w:eastAsia="方正楷体_GBK"/>
                <w:snapToGrid w:val="0"/>
                <w:color w:val="auto"/>
                <w:sz w:val="24"/>
                <w:lang w:val="en-US" w:eastAsia="zh-CN" w:bidi="ar"/>
              </w:rPr>
              <w:t>8</w:t>
            </w:r>
            <w:r>
              <w:rPr>
                <w:rFonts w:hint="eastAsia" w:ascii="Times New Roman" w:hAnsi="Times New Roman" w:eastAsia="方正楷体_GBK"/>
                <w:snapToGrid w:val="0"/>
                <w:color w:val="auto"/>
                <w:sz w:val="24"/>
                <w:lang w:bidi="ar"/>
              </w:rPr>
              <w:t>月</w:t>
            </w:r>
            <w:r>
              <w:rPr>
                <w:rFonts w:hint="eastAsia" w:ascii="Times New Roman" w:hAnsi="Times New Roman" w:eastAsia="方正楷体_GBK"/>
                <w:snapToGrid w:val="0"/>
                <w:color w:val="auto"/>
                <w:sz w:val="24"/>
                <w:lang w:val="en-US" w:eastAsia="zh-CN" w:bidi="ar"/>
              </w:rPr>
              <w:t>-9</w:t>
            </w:r>
            <w:r>
              <w:rPr>
                <w:rFonts w:hint="eastAsia" w:ascii="Times New Roman" w:hAnsi="Times New Roman" w:eastAsia="方正楷体_GBK"/>
                <w:snapToGrid w:val="0"/>
                <w:color w:val="auto"/>
                <w:sz w:val="24"/>
                <w:lang w:bidi="ar"/>
              </w:rPr>
              <w:t>月</w:t>
            </w:r>
          </w:p>
        </w:tc>
        <w:tc>
          <w:tcPr>
            <w:tcW w:w="4465" w:type="dxa"/>
            <w:vAlign w:val="center"/>
          </w:tcPr>
          <w:p w14:paraId="47C0B24C">
            <w:pPr>
              <w:numPr>
                <w:ilvl w:val="0"/>
                <w:numId w:val="0"/>
              </w:numPr>
              <w:adjustRightInd w:val="0"/>
              <w:snapToGrid w:val="0"/>
              <w:spacing w:after="0" w:line="240" w:lineRule="auto"/>
              <w:rPr>
                <w:rFonts w:hint="eastAsia" w:ascii="Times New Roman" w:hAnsi="Times New Roman" w:eastAsia="方正仿宋_GBK" w:cs="仿宋_GB2312"/>
                <w:snapToGrid w:val="0"/>
                <w:sz w:val="24"/>
              </w:rPr>
            </w:pPr>
            <w:r>
              <w:rPr>
                <w:rFonts w:hint="eastAsia" w:ascii="Times New Roman" w:hAnsi="Times New Roman" w:eastAsia="方正仿宋_GBK" w:cs="仿宋_GB2312"/>
                <w:snapToGrid w:val="0"/>
                <w:sz w:val="24"/>
                <w:lang w:val="en-US" w:eastAsia="zh-CN"/>
              </w:rPr>
              <w:t>统筹举办颁奖典礼，</w:t>
            </w:r>
            <w:r>
              <w:rPr>
                <w:rFonts w:hint="eastAsia" w:ascii="Times New Roman" w:hAnsi="Times New Roman" w:eastAsia="方正仿宋_GBK" w:cs="仿宋_GB2312"/>
                <w:snapToGrid w:val="0"/>
                <w:sz w:val="24"/>
              </w:rPr>
              <w:t>对获奖项目进行宣传推广，推动成果转化和产业合作。</w:t>
            </w:r>
          </w:p>
        </w:tc>
      </w:tr>
    </w:tbl>
    <w:p w14:paraId="34A78DA3">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2.交付成果要求：供应商应于验收时，同步提供项目实施过程中涉及到的所有文稿、PPT、音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频、直（录）播等可编辑文件（即电子文件），确保采购人方可基于后期需求进行无损编辑。</w:t>
      </w:r>
    </w:p>
    <w:p w14:paraId="1DD2E1C8">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3.投入要求：项目实施期间，供应商应根据采购人要求提供1名工作人员驻场沟通服务。</w:t>
      </w:r>
    </w:p>
    <w:p w14:paraId="591D2923">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项目验收文档要求：包括项目实施方案（含执行细案和宣传推广方案）、工作总结报告，赛事实施记录工作台账、赛事成果及产业落地材料，赛事安全保障方案等项目实施过程产生的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材料。（参赛选手提交的参赛方案、设计成果、应用程序、模型算法、演示视频、文档资料等参赛作品等归参赛选手本人或参赛团队所有）。</w:t>
      </w:r>
    </w:p>
    <w:p w14:paraId="00A49BD4">
      <w:pPr>
        <w:numPr>
          <w:ilvl w:val="0"/>
          <w:numId w:val="2"/>
        </w:numPr>
        <w:spacing w:after="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付款方式</w:t>
      </w:r>
    </w:p>
    <w:p w14:paraId="45FAC4CB">
      <w:pPr>
        <w:numPr>
          <w:ilvl w:val="255"/>
          <w:numId w:val="0"/>
        </w:numPr>
        <w:spacing w:after="0"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自合同签订之日起，十个工作日内预支付合同总金额的45%。</w:t>
      </w:r>
    </w:p>
    <w:p w14:paraId="405C831A">
      <w:pPr>
        <w:spacing w:after="0" w:line="579"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（二）根据项目进度，完成决赛、所有配套活动并提交赛事总体情况报告</w:t>
      </w:r>
      <w:r>
        <w:rPr>
          <w:rFonts w:hint="eastAsia" w:ascii="Times New Roman" w:hAnsi="Times New Roman" w:eastAsia="仿宋_GB2312" w:cs="Times New Roman"/>
          <w:sz w:val="32"/>
          <w:szCs w:val="32"/>
          <w:highlight w:val="none"/>
          <w:lang w:val="en-US" w:eastAsia="zh-CN"/>
        </w:rPr>
        <w:t>经甲方确认</w:t>
      </w:r>
      <w:r>
        <w:rPr>
          <w:rFonts w:hint="eastAsia" w:ascii="Times New Roman" w:hAnsi="Times New Roman" w:eastAsia="仿宋_GB2312" w:cs="Times New Roman"/>
          <w:sz w:val="32"/>
          <w:szCs w:val="32"/>
          <w:highlight w:val="none"/>
        </w:rPr>
        <w:t>后支付合同总金额的50%。</w:t>
      </w:r>
    </w:p>
    <w:p w14:paraId="381E5C34">
      <w:pPr>
        <w:spacing w:after="0" w:line="579"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（三）项目通过</w:t>
      </w:r>
      <w:r>
        <w:rPr>
          <w:rFonts w:hint="eastAsia" w:ascii="Times New Roman" w:hAnsi="Times New Roman" w:eastAsia="仿宋_GB2312" w:cs="Times New Roman"/>
          <w:sz w:val="32"/>
          <w:szCs w:val="32"/>
          <w:highlight w:val="none"/>
          <w:lang w:val="en-US" w:eastAsia="zh-CN"/>
        </w:rPr>
        <w:t>专家</w:t>
      </w:r>
      <w:r>
        <w:rPr>
          <w:rFonts w:hint="eastAsia" w:ascii="Times New Roman" w:hAnsi="Times New Roman" w:eastAsia="仿宋_GB2312" w:cs="Times New Roman"/>
          <w:sz w:val="32"/>
          <w:szCs w:val="32"/>
          <w:highlight w:val="none"/>
        </w:rPr>
        <w:t>验收后，支付合同总金额的5%。</w:t>
      </w:r>
    </w:p>
    <w:p w14:paraId="7FC415F9">
      <w:pPr>
        <w:spacing w:after="0" w:line="579"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）每次付款前，成交供应商需提供发票和请款函。</w:t>
      </w:r>
    </w:p>
    <w:p w14:paraId="208BDE8E">
      <w:pPr>
        <w:pStyle w:val="3"/>
        <w:numPr>
          <w:ilvl w:val="255"/>
          <w:numId w:val="0"/>
        </w:numPr>
        <w:spacing w:after="0" w:line="579"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七、评分标准</w:t>
      </w:r>
    </w:p>
    <w:p w14:paraId="30E5B30C">
      <w:pPr>
        <w:pStyle w:val="3"/>
        <w:spacing w:after="0" w:line="579"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1.价格分……………………………………………30分</w:t>
      </w:r>
    </w:p>
    <w:p w14:paraId="77129571">
      <w:pPr>
        <w:pStyle w:val="3"/>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符合《政府采购促进中小企业发展管理办法》（财库〔2020〕46号）和《财政部关于进一步加大政府采购支持中小企业力度的通知》（财库〔2022〕19号）的规定条件且按财库〔2020〕46号办法中规定的格式提供了《中小企业声明函》的小型和微型企业，对报价给予20%的扣除，扣除后的价格为评标价，即评标价=报价×（1-20%）；</w:t>
      </w:r>
    </w:p>
    <w:p w14:paraId="1EFC1833">
      <w:pPr>
        <w:pStyle w:val="3"/>
        <w:spacing w:after="0" w:line="579"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按《财政部、司法部关于政府采购支持监狱企业发展有关问题的通知》（财库〔2020〕68号）认定为监狱企业的，在政府采购活动中，监狱企业视同小型、微型企业。供应商应当提供由省级以上监狱管理局、戒毒管理局（含新疆生产建设兵团）出具的产品生产企业或服务提供企业属于监狱企业的证明文件，不再提供《中小企业声明函》。监狱企业属于小型、微型企业的，不重复享受政策。 </w:t>
      </w:r>
    </w:p>
    <w:p w14:paraId="483911A7">
      <w:pPr>
        <w:pStyle w:val="3"/>
        <w:spacing w:after="0" w:line="579"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关于促进残疾人就业政府采购政策的通知》（财库〔2017〕141号）认定为残疾人福利性单位的，在政府采购活动中，残疾人福利性单位视同小型、微型企业。供应商应当提供该通知规定的产品生产单位或服务提供单位属于残疾人福利性单位的《残疾人福利性单位声明函》，不再提供《中小企业声明函》。残疾人福利性单位属于小型、微型企业的，不重复享受政策。</w:t>
      </w:r>
    </w:p>
    <w:p w14:paraId="50670530">
      <w:pPr>
        <w:pStyle w:val="3"/>
        <w:spacing w:after="0" w:line="579" w:lineRule="exact"/>
        <w:ind w:firstLine="640" w:firstLineChars="200"/>
        <w:rPr>
          <w:rFonts w:hint="eastAsia" w:ascii="黑体" w:hAnsi="黑体" w:eastAsia="黑体" w:cs="黑体"/>
          <w:kern w:val="0"/>
          <w:sz w:val="32"/>
          <w:szCs w:val="32"/>
        </w:rPr>
      </w:pPr>
      <w:r>
        <w:rPr>
          <w:rFonts w:hint="eastAsia" w:ascii="仿宋_GB2312" w:hAnsi="仿宋_GB2312" w:eastAsia="仿宋_GB2312" w:cs="仿宋_GB2312"/>
          <w:kern w:val="0"/>
          <w:sz w:val="32"/>
          <w:szCs w:val="32"/>
        </w:rPr>
        <w:t>除上述情况外，评标价=报价。</w:t>
      </w:r>
      <w:r>
        <w:rPr>
          <w:rFonts w:hint="eastAsia" w:ascii="黑体" w:hAnsi="黑体" w:eastAsia="黑体" w:cs="黑体"/>
          <w:kern w:val="0"/>
          <w:sz w:val="32"/>
          <w:szCs w:val="32"/>
        </w:rPr>
        <w:t xml:space="preserve"> </w:t>
      </w:r>
    </w:p>
    <w:p w14:paraId="1B3EF442">
      <w:pPr>
        <w:spacing w:after="0" w:line="579" w:lineRule="exact"/>
        <w:ind w:firstLine="640" w:firstLineChars="200"/>
        <w:rPr>
          <w:rFonts w:hint="eastAsia" w:ascii="仿宋_GB2312" w:hAnsi="仿宋_GB2312" w:eastAsia="仿宋_GB2312" w:cs="仿宋_GB2312"/>
          <w:kern w:val="0"/>
          <w:sz w:val="32"/>
          <w:szCs w:val="32"/>
        </w:rPr>
      </w:pPr>
      <w:r>
        <w:rPr>
          <w:rFonts w:hint="eastAsia" w:ascii="Times New Roman" w:hAnsi="Times New Roman" w:eastAsia="仿宋" w:cs="Times New Roman"/>
          <w:sz w:val="32"/>
          <w:szCs w:val="40"/>
          <w:lang w:bidi="ar"/>
        </w:rPr>
        <w:t>（2）</w:t>
      </w:r>
      <w:r>
        <w:rPr>
          <w:rFonts w:hint="eastAsia" w:ascii="仿宋_GB2312" w:hAnsi="仿宋_GB2312" w:eastAsia="仿宋_GB2312" w:cs="仿宋_GB2312"/>
          <w:kern w:val="0"/>
          <w:sz w:val="32"/>
          <w:szCs w:val="32"/>
        </w:rPr>
        <w:t>以满足磋商文件要求且报价最低的供应商的报价为基准价，其价格分为30分。其他供应商的价格分统一按照下列公式计算：（评标基准价／投标报价）×30分。</w:t>
      </w:r>
    </w:p>
    <w:p w14:paraId="592D3814">
      <w:pPr>
        <w:spacing w:after="0" w:line="579"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百分数按四舍五入原则评审，保留小数点后两位。</w:t>
      </w:r>
    </w:p>
    <w:p w14:paraId="36CD48A2">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（3）最终成交供应商的成交金额等于最后报价（如有修正，以确认修正后的最后报价为准）。</w:t>
      </w:r>
    </w:p>
    <w:p w14:paraId="7C6841DE">
      <w:pPr>
        <w:spacing w:after="0" w:line="579" w:lineRule="exact"/>
        <w:ind w:firstLine="640" w:firstLineChars="200"/>
        <w:rPr>
          <w:rFonts w:hint="eastAsia" w:ascii="黑体" w:hAnsi="黑体" w:eastAsia="黑体" w:cs="Times New Roman"/>
          <w:sz w:val="32"/>
          <w:szCs w:val="40"/>
          <w:lang w:bidi="ar"/>
        </w:rPr>
      </w:pPr>
      <w:r>
        <w:rPr>
          <w:rFonts w:hint="eastAsia" w:ascii="黑体" w:hAnsi="黑体" w:eastAsia="黑体" w:cs="Times New Roman"/>
          <w:sz w:val="32"/>
          <w:szCs w:val="40"/>
          <w:lang w:bidi="ar"/>
        </w:rPr>
        <w:t>2.</w:t>
      </w:r>
      <w:r>
        <w:rPr>
          <w:rFonts w:hint="eastAsia" w:ascii="黑体" w:hAnsi="黑体" w:eastAsia="黑体" w:cs="仿宋_GB2312"/>
          <w:sz w:val="32"/>
          <w:szCs w:val="40"/>
        </w:rPr>
        <w:t>技术分</w:t>
      </w:r>
      <w:r>
        <w:rPr>
          <w:rFonts w:hint="eastAsia" w:ascii="黑体" w:hAnsi="黑体" w:eastAsia="黑体" w:cs="Times New Roman"/>
          <w:sz w:val="32"/>
          <w:szCs w:val="40"/>
          <w:lang w:bidi="ar"/>
        </w:rPr>
        <w:t>……………………………………………20分</w:t>
      </w:r>
    </w:p>
    <w:p w14:paraId="46B3EBBE">
      <w:pPr>
        <w:spacing w:after="0" w:line="579"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（1）策划方案（满分10 分）</w:t>
      </w:r>
    </w:p>
    <w:p w14:paraId="7F67A8DE">
      <w:pPr>
        <w:spacing w:after="0" w:line="579"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一档（</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分）：方案基本呼应赛事主题，包含简单的参赛思路，但内容较含糊，缺乏完整赛事流程框架，参赛规划未明确核心环节。</w:t>
      </w:r>
      <w:r>
        <w:rPr>
          <w:rFonts w:hint="eastAsia" w:ascii="仿宋_GB2312" w:hAnsi="仿宋_GB2312" w:eastAsia="仿宋_GB2312" w:cs="仿宋_GB2312"/>
          <w:kern w:val="0"/>
          <w:sz w:val="32"/>
          <w:szCs w:val="32"/>
          <w:lang w:val="en-US" w:eastAsia="zh-CN"/>
        </w:rPr>
        <w:t>未满足一档要求的不得分。</w:t>
      </w:r>
    </w:p>
    <w:p w14:paraId="46C64C7A">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二档（</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分）：方案紧扣赛事主题，涵盖大赛基本流程与参赛规划，有完整的赛事框架，但未对大赛各环节细节（如评审标准、奖项设置、作品要求等）展开具体描述。</w:t>
      </w:r>
    </w:p>
    <w:p w14:paraId="4070B9AA">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档（10分）：方案详实，逻辑清晰，深度契合“人工智能+电竞创新应用大赛”主题，详细介绍了大赛全流程（含报名、评审、颁奖等环节），参赛规则完善（明确作品形式、内容要求、版权要求等），奖项设置清晰（含奖项名称、奖励标准、评选维度等）。</w:t>
      </w:r>
    </w:p>
    <w:p w14:paraId="3F8F8454">
      <w:pPr>
        <w:numPr>
          <w:ilvl w:val="255"/>
          <w:numId w:val="0"/>
        </w:numPr>
        <w:spacing w:after="0" w:line="579"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（2）大赛现场搭建布置方案（10分）</w:t>
      </w:r>
    </w:p>
    <w:p w14:paraId="7FD44E9F">
      <w:pPr>
        <w:numPr>
          <w:ilvl w:val="255"/>
          <w:numId w:val="0"/>
        </w:numPr>
        <w:spacing w:after="0" w:line="579"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一档（</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分）：能够展现大赛主题，结构基本合理，可操作性一般，常规设备配置清单基本完整。</w:t>
      </w:r>
      <w:r>
        <w:rPr>
          <w:rFonts w:hint="eastAsia" w:ascii="仿宋_GB2312" w:hAnsi="仿宋_GB2312" w:eastAsia="仿宋_GB2312" w:cs="仿宋_GB2312"/>
          <w:kern w:val="0"/>
          <w:sz w:val="32"/>
          <w:szCs w:val="32"/>
          <w:lang w:val="en-US" w:eastAsia="zh-CN"/>
        </w:rPr>
        <w:t>未满足一档要求的不得分。</w:t>
      </w:r>
    </w:p>
    <w:p w14:paraId="0ED92E3D">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二档（</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分）：较好展现大赛主题，结构合理，可操作性较强，常规设备配置清单完整。</w:t>
      </w:r>
    </w:p>
    <w:p w14:paraId="3CCF9308">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三档（10分）：突出“人工智能+电竞”主题，结构科学，针对性强，可操作性强，常规设备配置清单齐全。</w:t>
      </w:r>
    </w:p>
    <w:p w14:paraId="02486E94">
      <w:pPr>
        <w:spacing w:after="0" w:line="579" w:lineRule="exact"/>
        <w:ind w:firstLine="640" w:firstLineChars="200"/>
        <w:rPr>
          <w:rFonts w:hint="eastAsia" w:ascii="黑体" w:hAnsi="黑体" w:eastAsia="黑体" w:cs="Times New Roman"/>
          <w:sz w:val="32"/>
          <w:szCs w:val="40"/>
          <w:lang w:bidi="ar"/>
        </w:rPr>
      </w:pPr>
      <w:r>
        <w:rPr>
          <w:rFonts w:hint="eastAsia" w:ascii="黑体" w:hAnsi="黑体" w:eastAsia="黑体" w:cs="Times New Roman"/>
          <w:sz w:val="32"/>
          <w:szCs w:val="40"/>
          <w:lang w:bidi="ar"/>
        </w:rPr>
        <w:t>3.</w:t>
      </w:r>
      <w:r>
        <w:rPr>
          <w:rFonts w:hint="eastAsia" w:ascii="黑体" w:hAnsi="黑体" w:eastAsia="黑体" w:cs="仿宋_GB2312"/>
          <w:sz w:val="32"/>
          <w:szCs w:val="40"/>
        </w:rPr>
        <w:t>服务分</w:t>
      </w:r>
      <w:r>
        <w:rPr>
          <w:rFonts w:hint="eastAsia" w:ascii="黑体" w:hAnsi="黑体" w:eastAsia="黑体" w:cs="Times New Roman"/>
          <w:sz w:val="32"/>
          <w:szCs w:val="40"/>
          <w:lang w:bidi="ar"/>
        </w:rPr>
        <w:t>……………………………………………30分</w:t>
      </w:r>
    </w:p>
    <w:p w14:paraId="2FC6E0FC">
      <w:pPr>
        <w:spacing w:after="0" w:line="579" w:lineRule="exact"/>
        <w:ind w:firstLine="643" w:firstLineChars="200"/>
        <w:rPr>
          <w:rFonts w:hint="eastAsia" w:ascii="仿宋_GB2312" w:hAnsi="仿宋_GB2312" w:eastAsia="仿宋_GB2312" w:cs="仿宋_GB2312"/>
          <w:b/>
          <w:bCs/>
          <w:sz w:val="32"/>
          <w:szCs w:val="40"/>
          <w:lang w:bidi="ar"/>
        </w:rPr>
      </w:pPr>
      <w:r>
        <w:rPr>
          <w:rFonts w:hint="eastAsia" w:ascii="仿宋_GB2312" w:hAnsi="仿宋_GB2312" w:eastAsia="仿宋_GB2312" w:cs="仿宋_GB2312"/>
          <w:b/>
          <w:bCs/>
          <w:sz w:val="32"/>
          <w:szCs w:val="40"/>
          <w:lang w:bidi="ar"/>
        </w:rPr>
        <w:t>（1）宣传推广方案（满分10分）</w:t>
      </w:r>
    </w:p>
    <w:p w14:paraId="7BB1E662">
      <w:pPr>
        <w:numPr>
          <w:ilvl w:val="255"/>
          <w:numId w:val="0"/>
        </w:numPr>
        <w:spacing w:after="0" w:line="579" w:lineRule="exact"/>
        <w:ind w:firstLine="640" w:firstLineChars="200"/>
        <w:rPr>
          <w:rStyle w:val="14"/>
          <w:rFonts w:hint="default" w:ascii="仿宋_GB2312" w:hAnsi="仿宋_GB2312" w:eastAsia="仿宋_GB2312" w:cs="仿宋_GB2312"/>
          <w:sz w:val="32"/>
          <w:szCs w:val="40"/>
          <w:highlight w:val="none"/>
          <w:lang w:val="en-US" w:eastAsia="zh-CN" w:bidi="ar"/>
        </w:rPr>
      </w:pPr>
      <w:r>
        <w:rPr>
          <w:rFonts w:hint="eastAsia" w:ascii="仿宋_GB2312" w:hAnsi="仿宋_GB2312" w:eastAsia="仿宋_GB2312" w:cs="仿宋_GB2312"/>
          <w:sz w:val="32"/>
          <w:szCs w:val="40"/>
          <w:highlight w:val="none"/>
          <w:lang w:bidi="ar"/>
        </w:rPr>
        <w:t>一档（</w:t>
      </w:r>
      <w:r>
        <w:rPr>
          <w:rFonts w:hint="eastAsia" w:ascii="仿宋_GB2312" w:hAnsi="仿宋_GB2312" w:eastAsia="仿宋_GB2312" w:cs="仿宋_GB2312"/>
          <w:sz w:val="32"/>
          <w:szCs w:val="40"/>
          <w:highlight w:val="none"/>
          <w:lang w:val="en-US" w:eastAsia="zh-CN" w:bidi="ar"/>
        </w:rPr>
        <w:t>4</w:t>
      </w:r>
      <w:r>
        <w:rPr>
          <w:rFonts w:hint="eastAsia" w:ascii="仿宋_GB2312" w:hAnsi="仿宋_GB2312" w:eastAsia="仿宋_GB2312" w:cs="仿宋_GB2312"/>
          <w:sz w:val="32"/>
          <w:szCs w:val="40"/>
          <w:highlight w:val="none"/>
          <w:lang w:bidi="ar"/>
        </w:rPr>
        <w:t>分）：赛前、赛中、赛后宣传计划完整，覆盖</w:t>
      </w:r>
      <w:r>
        <w:rPr>
          <w:rFonts w:hint="eastAsia" w:ascii="仿宋_GB2312" w:hAnsi="仿宋_GB2312" w:eastAsia="仿宋_GB2312" w:cs="仿宋_GB2312"/>
          <w:sz w:val="32"/>
          <w:szCs w:val="40"/>
          <w:highlight w:val="none"/>
          <w:lang w:val="en-US" w:eastAsia="zh-CN" w:bidi="ar"/>
        </w:rPr>
        <w:t>国内外</w:t>
      </w:r>
      <w:r>
        <w:rPr>
          <w:rFonts w:hint="eastAsia" w:ascii="仿宋_GB2312" w:hAnsi="仿宋_GB2312" w:eastAsia="仿宋_GB2312" w:cs="仿宋_GB2312"/>
          <w:sz w:val="32"/>
          <w:szCs w:val="40"/>
          <w:highlight w:val="none"/>
          <w:lang w:bidi="ar"/>
        </w:rPr>
        <w:t>头部平台</w:t>
      </w:r>
      <w:r>
        <w:rPr>
          <w:rFonts w:hint="eastAsia" w:ascii="仿宋_GB2312" w:hAnsi="仿宋_GB2312" w:eastAsia="仿宋_GB2312" w:cs="仿宋_GB2312"/>
          <w:sz w:val="32"/>
          <w:szCs w:val="40"/>
          <w:highlight w:val="none"/>
          <w:lang w:val="en-US" w:eastAsia="zh-CN" w:bidi="ar"/>
        </w:rPr>
        <w:t>(如抖音、快手、视频号等）</w:t>
      </w:r>
      <w:r>
        <w:rPr>
          <w:rFonts w:hint="eastAsia" w:ascii="仿宋_GB2312" w:hAnsi="仿宋_GB2312" w:eastAsia="仿宋_GB2312" w:cs="仿宋_GB2312"/>
          <w:sz w:val="32"/>
          <w:szCs w:val="40"/>
          <w:highlight w:val="none"/>
          <w:lang w:bidi="ar"/>
        </w:rPr>
        <w:t>＜</w:t>
      </w:r>
      <w:r>
        <w:rPr>
          <w:rFonts w:hint="eastAsia" w:ascii="仿宋_GB2312" w:hAnsi="仿宋_GB2312" w:eastAsia="仿宋_GB2312" w:cs="仿宋_GB2312"/>
          <w:sz w:val="32"/>
          <w:szCs w:val="40"/>
          <w:highlight w:val="none"/>
          <w:lang w:val="en-US" w:eastAsia="zh-CN" w:bidi="ar"/>
        </w:rPr>
        <w:t>4</w:t>
      </w:r>
      <w:r>
        <w:rPr>
          <w:rFonts w:hint="eastAsia" w:ascii="仿宋_GB2312" w:hAnsi="仿宋_GB2312" w:eastAsia="仿宋_GB2312" w:cs="仿宋_GB2312"/>
          <w:sz w:val="32"/>
          <w:szCs w:val="40"/>
          <w:highlight w:val="none"/>
          <w:lang w:bidi="ar"/>
        </w:rPr>
        <w:t>个</w:t>
      </w:r>
      <w:r>
        <w:rPr>
          <w:rFonts w:hint="eastAsia" w:ascii="仿宋_GB2312" w:hAnsi="仿宋_GB2312" w:eastAsia="仿宋_GB2312" w:cs="仿宋_GB2312"/>
          <w:sz w:val="32"/>
          <w:szCs w:val="40"/>
          <w:highlight w:val="none"/>
          <w:lang w:val="en-US" w:eastAsia="zh-CN" w:bidi="ar"/>
        </w:rPr>
        <w:t>(其中，国内头部媒体平台</w:t>
      </w:r>
      <w:r>
        <w:rPr>
          <w:rFonts w:hint="eastAsia" w:ascii="仿宋_GB2312" w:hAnsi="仿宋_GB2312" w:eastAsia="仿宋_GB2312" w:cs="仿宋_GB2312"/>
          <w:sz w:val="32"/>
          <w:szCs w:val="40"/>
          <w:highlight w:val="none"/>
          <w:lang w:bidi="ar"/>
        </w:rPr>
        <w:t>＜</w:t>
      </w:r>
      <w:r>
        <w:rPr>
          <w:rFonts w:hint="eastAsia" w:ascii="仿宋_GB2312" w:hAnsi="仿宋_GB2312" w:eastAsia="仿宋_GB2312" w:cs="仿宋_GB2312"/>
          <w:sz w:val="32"/>
          <w:szCs w:val="40"/>
          <w:highlight w:val="none"/>
          <w:lang w:val="en-US" w:eastAsia="zh-CN" w:bidi="ar"/>
        </w:rPr>
        <w:t>3个，国外头部媒体平台＜2个）</w:t>
      </w:r>
      <w:r>
        <w:rPr>
          <w:rFonts w:hint="eastAsia" w:ascii="仿宋_GB2312" w:hAnsi="仿宋_GB2312" w:eastAsia="仿宋_GB2312" w:cs="仿宋_GB2312"/>
          <w:sz w:val="32"/>
          <w:szCs w:val="40"/>
          <w:highlight w:val="none"/>
          <w:lang w:bidi="ar"/>
        </w:rPr>
        <w:t>，宣传内容缺乏创新，无明确曝光量目标。</w:t>
      </w:r>
      <w:r>
        <w:rPr>
          <w:rStyle w:val="14"/>
          <w:rFonts w:hint="eastAsia" w:ascii="仿宋_GB2312" w:hAnsi="仿宋_GB2312" w:eastAsia="仿宋_GB2312" w:cs="仿宋_GB2312"/>
          <w:sz w:val="32"/>
          <w:szCs w:val="40"/>
          <w:highlight w:val="none"/>
          <w:lang w:val="en-US" w:eastAsia="zh-CN" w:bidi="ar"/>
        </w:rPr>
        <w:t>未满足一档要求的不得分。</w:t>
      </w:r>
    </w:p>
    <w:p w14:paraId="72E02F57">
      <w:pPr>
        <w:numPr>
          <w:ilvl w:val="255"/>
          <w:numId w:val="0"/>
        </w:numPr>
        <w:spacing w:after="0" w:line="579" w:lineRule="exact"/>
        <w:ind w:firstLine="640" w:firstLineChars="200"/>
        <w:rPr>
          <w:rFonts w:hint="eastAsia" w:ascii="仿宋_GB2312" w:hAnsi="仿宋_GB2312" w:eastAsia="仿宋_GB2312" w:cs="仿宋_GB2312"/>
          <w:sz w:val="32"/>
          <w:szCs w:val="40"/>
          <w:highlight w:val="none"/>
          <w:lang w:bidi="ar"/>
        </w:rPr>
      </w:pPr>
      <w:r>
        <w:rPr>
          <w:rFonts w:hint="eastAsia" w:ascii="仿宋_GB2312" w:hAnsi="仿宋_GB2312" w:eastAsia="仿宋_GB2312" w:cs="仿宋_GB2312"/>
          <w:sz w:val="32"/>
          <w:szCs w:val="40"/>
          <w:highlight w:val="none"/>
          <w:lang w:bidi="ar"/>
        </w:rPr>
        <w:t>二档（</w:t>
      </w:r>
      <w:r>
        <w:rPr>
          <w:rFonts w:hint="eastAsia" w:ascii="仿宋_GB2312" w:hAnsi="仿宋_GB2312" w:eastAsia="仿宋_GB2312" w:cs="仿宋_GB2312"/>
          <w:sz w:val="32"/>
          <w:szCs w:val="40"/>
          <w:highlight w:val="none"/>
          <w:lang w:val="en-US" w:eastAsia="zh-CN" w:bidi="ar"/>
        </w:rPr>
        <w:t>7</w:t>
      </w:r>
      <w:r>
        <w:rPr>
          <w:rFonts w:hint="eastAsia" w:ascii="仿宋_GB2312" w:hAnsi="仿宋_GB2312" w:eastAsia="仿宋_GB2312" w:cs="仿宋_GB2312"/>
          <w:sz w:val="32"/>
          <w:szCs w:val="40"/>
          <w:highlight w:val="none"/>
          <w:lang w:bidi="ar"/>
        </w:rPr>
        <w:t>分）：在一档的基础上，具备赛前、赛中、赛后基础宣传框架，有详实的国内外宣传计划，覆盖头部平台</w:t>
      </w:r>
      <w:r>
        <w:rPr>
          <w:rFonts w:hint="eastAsia" w:ascii="仿宋_GB2312" w:hAnsi="仿宋_GB2312" w:eastAsia="仿宋_GB2312" w:cs="仿宋_GB2312"/>
          <w:sz w:val="32"/>
          <w:szCs w:val="40"/>
          <w:highlight w:val="none"/>
          <w:lang w:val="en-US" w:eastAsia="zh-CN" w:bidi="ar"/>
        </w:rPr>
        <w:t>4</w:t>
      </w:r>
      <w:r>
        <w:rPr>
          <w:rFonts w:hint="eastAsia" w:ascii="仿宋_GB2312" w:hAnsi="仿宋_GB2312" w:eastAsia="仿宋_GB2312" w:cs="仿宋_GB2312"/>
          <w:sz w:val="32"/>
          <w:szCs w:val="40"/>
          <w:highlight w:val="none"/>
          <w:lang w:bidi="ar"/>
        </w:rPr>
        <w:t>-</w:t>
      </w:r>
      <w:r>
        <w:rPr>
          <w:rFonts w:hint="eastAsia" w:ascii="仿宋_GB2312" w:hAnsi="仿宋_GB2312" w:eastAsia="仿宋_GB2312" w:cs="仿宋_GB2312"/>
          <w:sz w:val="32"/>
          <w:szCs w:val="40"/>
          <w:highlight w:val="none"/>
          <w:lang w:val="en-US" w:eastAsia="zh-CN" w:bidi="ar"/>
        </w:rPr>
        <w:t>6</w:t>
      </w:r>
      <w:r>
        <w:rPr>
          <w:rFonts w:hint="eastAsia" w:ascii="仿宋_GB2312" w:hAnsi="仿宋_GB2312" w:eastAsia="仿宋_GB2312" w:cs="仿宋_GB2312"/>
          <w:sz w:val="32"/>
          <w:szCs w:val="40"/>
          <w:highlight w:val="none"/>
          <w:lang w:bidi="ar"/>
        </w:rPr>
        <w:t>个，宣传内容有创新性，总体曝光量≥</w:t>
      </w:r>
      <w:r>
        <w:rPr>
          <w:rFonts w:hint="eastAsia" w:ascii="仿宋_GB2312" w:hAnsi="仿宋_GB2312" w:eastAsia="仿宋_GB2312" w:cs="仿宋_GB2312"/>
          <w:sz w:val="32"/>
          <w:szCs w:val="40"/>
          <w:highlight w:val="none"/>
          <w:lang w:val="en-US" w:eastAsia="zh-CN" w:bidi="ar"/>
        </w:rPr>
        <w:t>200</w:t>
      </w:r>
      <w:r>
        <w:rPr>
          <w:rFonts w:hint="eastAsia" w:ascii="仿宋_GB2312" w:hAnsi="仿宋_GB2312" w:eastAsia="仿宋_GB2312" w:cs="仿宋_GB2312"/>
          <w:sz w:val="32"/>
          <w:szCs w:val="40"/>
          <w:highlight w:val="none"/>
          <w:lang w:bidi="ar"/>
        </w:rPr>
        <w:t>万次。</w:t>
      </w:r>
    </w:p>
    <w:p w14:paraId="1D85129F">
      <w:pPr>
        <w:numPr>
          <w:ilvl w:val="255"/>
          <w:numId w:val="0"/>
        </w:numPr>
        <w:spacing w:after="0" w:line="579" w:lineRule="exact"/>
        <w:ind w:firstLine="640" w:firstLineChars="200"/>
        <w:rPr>
          <w:rFonts w:hint="eastAsia" w:ascii="仿宋_GB2312" w:hAnsi="仿宋_GB2312" w:eastAsia="仿宋_GB2312" w:cs="仿宋_GB2312"/>
          <w:sz w:val="32"/>
          <w:szCs w:val="40"/>
          <w:lang w:bidi="ar"/>
        </w:rPr>
      </w:pPr>
      <w:r>
        <w:rPr>
          <w:rFonts w:hint="eastAsia" w:ascii="仿宋_GB2312" w:hAnsi="仿宋_GB2312" w:eastAsia="仿宋_GB2312" w:cs="仿宋_GB2312"/>
          <w:sz w:val="32"/>
          <w:szCs w:val="40"/>
          <w:lang w:bidi="ar"/>
        </w:rPr>
        <w:t>三档（10分）：在二档的基础上，构建赛前、赛中、赛后全周期宣传体系，</w:t>
      </w:r>
      <w:r>
        <w:rPr>
          <w:rFonts w:hint="eastAsia" w:ascii="仿宋_GB2312" w:hAnsi="仿宋_GB2312" w:eastAsia="仿宋_GB2312" w:cs="仿宋_GB2312"/>
          <w:kern w:val="0"/>
          <w:sz w:val="32"/>
          <w:szCs w:val="32"/>
        </w:rPr>
        <w:t>宣传渠道多样性与覆盖面全，覆盖头部平台≥</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个，宣传内容策划创新，有深度，对预期宣传效果评估合理，线上总体曝光量</w:t>
      </w:r>
      <w:r>
        <w:rPr>
          <w:rFonts w:hint="eastAsia" w:ascii="仿宋_GB2312" w:hAnsi="仿宋_GB2312" w:eastAsia="仿宋_GB2312" w:cs="仿宋_GB2312"/>
          <w:sz w:val="32"/>
          <w:szCs w:val="40"/>
          <w:lang w:bidi="ar"/>
        </w:rPr>
        <w:t>≥</w:t>
      </w:r>
      <w:r>
        <w:rPr>
          <w:rFonts w:hint="eastAsia" w:ascii="仿宋_GB2312" w:hAnsi="仿宋_GB2312" w:eastAsia="仿宋_GB2312" w:cs="仿宋_GB2312"/>
          <w:sz w:val="32"/>
          <w:szCs w:val="40"/>
          <w:lang w:val="en-US" w:eastAsia="zh-CN" w:bidi="ar"/>
        </w:rPr>
        <w:t>300</w:t>
      </w:r>
      <w:r>
        <w:rPr>
          <w:rFonts w:hint="eastAsia" w:ascii="仿宋_GB2312" w:hAnsi="仿宋_GB2312" w:eastAsia="仿宋_GB2312" w:cs="仿宋_GB2312"/>
          <w:sz w:val="32"/>
          <w:szCs w:val="40"/>
          <w:lang w:bidi="ar"/>
        </w:rPr>
        <w:t>万次。</w:t>
      </w:r>
    </w:p>
    <w:p w14:paraId="1528148A">
      <w:pPr>
        <w:numPr>
          <w:ilvl w:val="255"/>
          <w:numId w:val="0"/>
        </w:numPr>
        <w:spacing w:after="0" w:line="579"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（2）成果推介方案（满分20分）</w:t>
      </w:r>
    </w:p>
    <w:p w14:paraId="3DA89D24">
      <w:pPr>
        <w:numPr>
          <w:ilvl w:val="255"/>
          <w:numId w:val="0"/>
        </w:numPr>
        <w:spacing w:after="0" w:line="579"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一档（8分）：仅提出成果推介方向，无具体媒体清单或专题片规划。</w:t>
      </w:r>
      <w:r>
        <w:rPr>
          <w:rStyle w:val="14"/>
          <w:rFonts w:hint="eastAsia" w:ascii="仿宋_GB2312" w:hAnsi="仿宋_GB2312" w:eastAsia="仿宋_GB2312" w:cs="仿宋_GB2312"/>
          <w:kern w:val="0"/>
          <w:sz w:val="32"/>
          <w:szCs w:val="32"/>
          <w:lang w:val="en-US" w:eastAsia="zh-CN"/>
        </w:rPr>
        <w:t>未满足一档要求的不得分。</w:t>
      </w:r>
    </w:p>
    <w:p w14:paraId="08A151F6">
      <w:pPr>
        <w:numPr>
          <w:ilvl w:val="255"/>
          <w:numId w:val="0"/>
        </w:num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二档（14分）：在一档的基础上，附拟邀约媒体清单≥10家，发布媒体专题报道2条（省级及以上媒体≥1条）。</w:t>
      </w:r>
    </w:p>
    <w:p w14:paraId="3FC2B042">
      <w:pPr>
        <w:numPr>
          <w:ilvl w:val="255"/>
          <w:numId w:val="0"/>
        </w:numPr>
        <w:spacing w:after="0" w:line="579"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三档（20分）：在二档的基础上，拟邀约媒体清单≥15家（含央媒、行业媒体、东盟媒体），附拟发布媒体专题报道≥3条（省级及以上媒体≥1条）</w:t>
      </w:r>
      <w:r>
        <w:rPr>
          <w:rFonts w:hint="eastAsia" w:ascii="仿宋_GB2312" w:hAnsi="仿宋_GB2312" w:eastAsia="仿宋_GB2312" w:cs="仿宋_GB2312"/>
          <w:kern w:val="0"/>
          <w:sz w:val="32"/>
          <w:szCs w:val="32"/>
          <w:highlight w:val="none"/>
        </w:rPr>
        <w:t>，深度发布成果计划和成果转化对接会方案。</w:t>
      </w:r>
    </w:p>
    <w:p w14:paraId="26BEF0BC">
      <w:pPr>
        <w:spacing w:after="0" w:line="579" w:lineRule="exact"/>
        <w:ind w:firstLine="640" w:firstLineChars="200"/>
        <w:rPr>
          <w:rFonts w:hint="eastAsia" w:ascii="黑体" w:hAnsi="黑体" w:eastAsia="黑体" w:cs="Times New Roman"/>
          <w:sz w:val="32"/>
          <w:szCs w:val="40"/>
          <w:lang w:bidi="ar"/>
        </w:rPr>
      </w:pPr>
      <w:r>
        <w:rPr>
          <w:rFonts w:hint="eastAsia" w:ascii="黑体" w:hAnsi="黑体" w:eastAsia="黑体" w:cs="Times New Roman"/>
          <w:sz w:val="32"/>
          <w:szCs w:val="40"/>
          <w:lang w:bidi="ar"/>
        </w:rPr>
        <w:t>4.商务分……………………………………………20分</w:t>
      </w:r>
    </w:p>
    <w:p w14:paraId="0626365D">
      <w:pPr>
        <w:spacing w:after="0" w:line="579" w:lineRule="exact"/>
        <w:ind w:firstLine="643" w:firstLineChars="200"/>
        <w:rPr>
          <w:rFonts w:hint="eastAsia" w:ascii="仿宋" w:hAnsi="仿宋" w:eastAsia="仿宋" w:cs="仿宋"/>
          <w:b/>
          <w:bCs/>
          <w:sz w:val="32"/>
          <w:szCs w:val="40"/>
        </w:rPr>
      </w:pPr>
      <w:r>
        <w:rPr>
          <w:rFonts w:hint="eastAsia" w:ascii="仿宋" w:hAnsi="仿宋" w:eastAsia="仿宋" w:cs="仿宋"/>
          <w:b/>
          <w:bCs/>
          <w:sz w:val="32"/>
          <w:szCs w:val="40"/>
          <w:lang w:bidi="ar"/>
        </w:rPr>
        <w:t>（1）业绩</w:t>
      </w:r>
      <w:r>
        <w:rPr>
          <w:rFonts w:hint="eastAsia" w:ascii="仿宋" w:hAnsi="仿宋" w:eastAsia="仿宋" w:cs="仿宋"/>
          <w:b/>
          <w:bCs/>
          <w:sz w:val="32"/>
          <w:szCs w:val="40"/>
        </w:rPr>
        <w:t>分（满分</w:t>
      </w:r>
      <w:r>
        <w:rPr>
          <w:rFonts w:hint="eastAsia" w:ascii="仿宋" w:hAnsi="仿宋" w:eastAsia="仿宋" w:cs="仿宋"/>
          <w:b/>
          <w:bCs/>
          <w:sz w:val="32"/>
          <w:szCs w:val="40"/>
          <w:lang w:val="en-US" w:eastAsia="zh-CN"/>
        </w:rPr>
        <w:t>10</w:t>
      </w:r>
      <w:r>
        <w:rPr>
          <w:rFonts w:hint="eastAsia" w:ascii="仿宋" w:hAnsi="仿宋" w:eastAsia="仿宋" w:cs="仿宋"/>
          <w:b/>
          <w:bCs/>
          <w:sz w:val="32"/>
          <w:szCs w:val="40"/>
        </w:rPr>
        <w:t>分）</w:t>
      </w:r>
    </w:p>
    <w:p w14:paraId="03004E01">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自2022年1月1日以来，投标人每提供1个大赛或会务服务相关案例得2分，满分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0分（需提供合同关键页、服务内容、签订日期、双方盖章及现场图片证明，同一项目重复提供的，不重复计分）。</w:t>
      </w:r>
    </w:p>
    <w:p w14:paraId="52B2F55D">
      <w:pPr>
        <w:numPr>
          <w:ilvl w:val="0"/>
          <w:numId w:val="0"/>
        </w:numPr>
        <w:spacing w:after="0" w:line="579"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实施人员分（满分10分）</w:t>
      </w:r>
      <w:r>
        <w:rPr>
          <w:rFonts w:hint="eastAsia" w:ascii="仿宋_GB2312" w:hAnsi="仿宋_GB2312" w:eastAsia="仿宋_GB2312" w:cs="仿宋_GB2312"/>
          <w:b/>
          <w:bCs/>
          <w:kern w:val="0"/>
          <w:sz w:val="32"/>
          <w:szCs w:val="32"/>
        </w:rPr>
        <w:tab/>
      </w:r>
    </w:p>
    <w:p w14:paraId="5C93A5AE">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一档（6分）：供应商针对本项目配备实施团队，拟投入本项目服务人员≥15人，团队包含直播导播、现场工作人员及执行人员等，满足项目基础</w:t>
      </w:r>
      <w:r>
        <w:rPr>
          <w:rFonts w:hint="eastAsia" w:ascii="仿宋_GB2312" w:hAnsi="仿宋_GB2312" w:eastAsia="仿宋_GB2312" w:cs="仿宋_GB2312"/>
          <w:kern w:val="0"/>
          <w:sz w:val="32"/>
          <w:szCs w:val="32"/>
          <w:lang w:val="en-US" w:eastAsia="zh-CN"/>
        </w:rPr>
        <w:t>实施</w:t>
      </w:r>
      <w:r>
        <w:rPr>
          <w:rFonts w:hint="eastAsia" w:ascii="仿宋_GB2312" w:hAnsi="仿宋_GB2312" w:eastAsia="仿宋_GB2312" w:cs="仿宋_GB2312"/>
          <w:kern w:val="0"/>
          <w:sz w:val="32"/>
          <w:szCs w:val="32"/>
        </w:rPr>
        <w:t>需求。</w:t>
      </w:r>
    </w:p>
    <w:p w14:paraId="7CF07F62">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二档（8分）：在一档的基础上，拟投入本项目服务人员≥18人，团队人员分工明确，包含赛事执行、技术支持、</w:t>
      </w:r>
      <w:r>
        <w:rPr>
          <w:rFonts w:hint="eastAsia" w:ascii="仿宋_GB2312" w:hAnsi="仿宋_GB2312" w:eastAsia="仿宋_GB2312" w:cs="仿宋_GB2312"/>
          <w:kern w:val="0"/>
          <w:sz w:val="32"/>
          <w:szCs w:val="32"/>
          <w:lang w:val="en-US" w:eastAsia="zh-CN"/>
        </w:rPr>
        <w:t>安全</w:t>
      </w:r>
      <w:r>
        <w:rPr>
          <w:rFonts w:hint="eastAsia" w:ascii="仿宋_GB2312" w:hAnsi="仿宋_GB2312" w:eastAsia="仿宋_GB2312" w:cs="仿宋_GB2312"/>
          <w:kern w:val="0"/>
          <w:sz w:val="32"/>
          <w:szCs w:val="32"/>
        </w:rPr>
        <w:t>保障等人员分工。</w:t>
      </w:r>
    </w:p>
    <w:p w14:paraId="2051C93A">
      <w:pPr>
        <w:spacing w:after="0" w:line="57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三档（10分）：在二档的基础上，拟投入本项目服务人员≥20人，涵盖赛事策划、跨境协调、评审组织、宣传推广等。</w:t>
      </w:r>
    </w:p>
    <w:p w14:paraId="3DBD2307">
      <w:pPr>
        <w:spacing w:after="0" w:line="579" w:lineRule="exact"/>
        <w:ind w:firstLine="640" w:firstLineChars="200"/>
        <w:rPr>
          <w:rFonts w:hint="eastAsia" w:ascii="仿宋" w:hAnsi="仿宋" w:eastAsia="仿宋" w:cs="仿宋"/>
          <w:color w:val="000000"/>
          <w:kern w:val="0"/>
          <w:sz w:val="32"/>
          <w:szCs w:val="40"/>
          <w:lang w:bidi="ar"/>
        </w:rPr>
      </w:pPr>
      <w:r>
        <w:rPr>
          <w:rFonts w:hint="eastAsia" w:ascii="黑体" w:hAnsi="黑体" w:eastAsia="黑体" w:cs="Times New Roman"/>
          <w:sz w:val="32"/>
          <w:szCs w:val="40"/>
          <w:lang w:bidi="ar"/>
        </w:rPr>
        <w:t>5.总得分＝1＋2+3+4。</w:t>
      </w:r>
    </w:p>
    <w:p w14:paraId="1BF592E6">
      <w:pPr>
        <w:spacing w:after="0" w:line="579" w:lineRule="exact"/>
        <w:ind w:firstLine="640" w:firstLineChars="200"/>
        <w:rPr>
          <w:rFonts w:eastAsia="仿宋_GB2312" w:cs="Times New Roman"/>
          <w:kern w:val="0"/>
          <w:sz w:val="32"/>
          <w:szCs w:val="32"/>
        </w:rPr>
      </w:pPr>
      <w:r>
        <w:rPr>
          <w:rFonts w:hint="eastAsia" w:ascii="黑体" w:hAnsi="黑体" w:eastAsia="黑体" w:cs="黑体"/>
          <w:kern w:val="0"/>
          <w:sz w:val="32"/>
          <w:szCs w:val="32"/>
        </w:rPr>
        <w:t>四、成交候选人推荐原则</w:t>
      </w:r>
    </w:p>
    <w:p w14:paraId="37113362">
      <w:pPr>
        <w:spacing w:after="0" w:line="579" w:lineRule="exact"/>
        <w:ind w:firstLine="640" w:firstLineChars="200"/>
        <w:rPr>
          <w:rFonts w:eastAsia="仿宋_GB2312" w:cs="Times New Roman"/>
          <w:kern w:val="0"/>
          <w:sz w:val="32"/>
          <w:szCs w:val="32"/>
        </w:rPr>
      </w:pPr>
      <w:r>
        <w:rPr>
          <w:rFonts w:hint="eastAsia" w:eastAsia="仿宋_GB2312" w:cs="Times New Roman"/>
          <w:kern w:val="0"/>
          <w:sz w:val="32"/>
          <w:szCs w:val="32"/>
        </w:rPr>
        <w:t>评审小组将根据得分由高到低排列次序（总得分相同时，按照最后报价由低到高的顺序排列。总得分且最后报价相同的，按照技术指标优劣顺序排列）推荐综合排名第一名的供应商为成交候选供应商。排名第一的成交候选人放弃成交、因不可抗力提出不能履行合同，采购单位可以确定排名第二的成交候选人为成交人，以此类推。评审小组对供应商响应文件进行符合性审查，有效响应供应商不足</w:t>
      </w:r>
      <w:r>
        <w:rPr>
          <w:rFonts w:ascii="Times New Roman" w:hAnsi="Times New Roman" w:eastAsia="仿宋_GB2312" w:cs="Times New Roman"/>
          <w:kern w:val="0"/>
          <w:sz w:val="32"/>
          <w:szCs w:val="32"/>
        </w:rPr>
        <w:t>3</w:t>
      </w:r>
      <w:r>
        <w:rPr>
          <w:rFonts w:hint="eastAsia" w:eastAsia="仿宋_GB2312" w:cs="Times New Roman"/>
          <w:kern w:val="0"/>
          <w:sz w:val="32"/>
          <w:szCs w:val="32"/>
        </w:rPr>
        <w:t>家的，本项目废标，采购人将按政府采购相关规定重新组织采购。</w:t>
      </w:r>
    </w:p>
    <w:p w14:paraId="29ED086D">
      <w:pPr>
        <w:spacing w:after="0" w:line="579" w:lineRule="exact"/>
        <w:ind w:firstLine="640" w:firstLineChars="200"/>
        <w:rPr>
          <w:rFonts w:eastAsia="仿宋_GB2312" w:cs="Times New Roman"/>
          <w:kern w:val="0"/>
          <w:sz w:val="32"/>
          <w:szCs w:val="32"/>
        </w:rPr>
      </w:pPr>
    </w:p>
    <w:p w14:paraId="7402A8CE">
      <w:pPr>
        <w:spacing w:after="0" w:line="579" w:lineRule="exact"/>
        <w:ind w:firstLine="640" w:firstLineChars="200"/>
        <w:rPr>
          <w:rFonts w:eastAsia="仿宋_GB2312" w:cs="Times New Roman"/>
          <w:kern w:val="0"/>
          <w:sz w:val="32"/>
          <w:szCs w:val="32"/>
        </w:rPr>
      </w:pPr>
    </w:p>
    <w:p w14:paraId="455B91F2">
      <w:pPr>
        <w:spacing w:after="0" w:line="579" w:lineRule="exact"/>
        <w:jc w:val="center"/>
        <w:rPr>
          <w:rFonts w:hint="eastAsia" w:ascii="方正小标宋简体" w:hAnsi="方正小标宋简体" w:eastAsia="方正小标宋简体" w:cs="方正小标宋简体"/>
          <w:bCs/>
          <w:sz w:val="44"/>
          <w:szCs w:val="44"/>
          <w:lang w:eastAsia="zh-CN"/>
        </w:rPr>
      </w:pPr>
      <w:bookmarkStart w:id="0" w:name="OLE_LINK1"/>
      <w:r>
        <w:rPr>
          <w:rFonts w:hint="eastAsia" w:ascii="方正小标宋简体" w:hAnsi="方正小标宋简体" w:eastAsia="方正小标宋简体" w:cs="方正小标宋简体"/>
          <w:bCs/>
          <w:sz w:val="44"/>
          <w:szCs w:val="44"/>
        </w:rPr>
        <w:t>2026年</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rPr>
        <w:t>人工智能+电竞创新应用大赛</w:t>
      </w:r>
      <w:r>
        <w:rPr>
          <w:rFonts w:hint="eastAsia" w:ascii="方正小标宋简体" w:hAnsi="方正小标宋简体" w:eastAsia="方正小标宋简体" w:cs="方正小标宋简体"/>
          <w:bCs/>
          <w:sz w:val="44"/>
          <w:szCs w:val="44"/>
          <w:lang w:eastAsia="zh-CN"/>
        </w:rPr>
        <w:t>”</w:t>
      </w:r>
    </w:p>
    <w:p w14:paraId="64FACECC">
      <w:pPr>
        <w:spacing w:after="0" w:line="579"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实施与服务项目协议</w:t>
      </w:r>
    </w:p>
    <w:bookmarkEnd w:id="0"/>
    <w:p w14:paraId="04DC58CE">
      <w:pPr>
        <w:tabs>
          <w:tab w:val="left" w:pos="8100"/>
        </w:tabs>
        <w:adjustRightInd w:val="0"/>
        <w:snapToGrid w:val="0"/>
        <w:spacing w:after="0" w:line="579" w:lineRule="exact"/>
        <w:rPr>
          <w:rFonts w:hint="eastAsia" w:ascii="仿宋_GB2312" w:hAnsi="仿宋_GB2312" w:eastAsia="仿宋_GB2312" w:cs="仿宋_GB2312"/>
          <w:b/>
          <w:sz w:val="32"/>
          <w:szCs w:val="32"/>
        </w:rPr>
      </w:pPr>
    </w:p>
    <w:p w14:paraId="14479182">
      <w:pPr>
        <w:spacing w:line="579"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Hans"/>
        </w:rPr>
        <w:t>甲方：</w:t>
      </w:r>
    </w:p>
    <w:p w14:paraId="18A5E452">
      <w:pPr>
        <w:spacing w:line="579"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地址：</w:t>
      </w:r>
    </w:p>
    <w:p w14:paraId="2F34EB31">
      <w:pPr>
        <w:spacing w:line="579"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w:t>
      </w:r>
    </w:p>
    <w:p w14:paraId="1C2F82A1">
      <w:pPr>
        <w:spacing w:line="579"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电话：</w:t>
      </w:r>
    </w:p>
    <w:p w14:paraId="65B32D6F">
      <w:pPr>
        <w:adjustRightInd w:val="0"/>
        <w:snapToGrid w:val="0"/>
        <w:spacing w:line="579"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统一社会信用代码：</w:t>
      </w:r>
    </w:p>
    <w:p w14:paraId="25E2D816">
      <w:pPr>
        <w:pStyle w:val="2"/>
        <w:spacing w:line="579" w:lineRule="exact"/>
        <w:rPr>
          <w:rFonts w:hint="eastAsia"/>
        </w:rPr>
      </w:pPr>
    </w:p>
    <w:p w14:paraId="0A8898E4">
      <w:pPr>
        <w:spacing w:line="579"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乙方：       </w:t>
      </w:r>
    </w:p>
    <w:p w14:paraId="355E0E96">
      <w:pPr>
        <w:spacing w:line="579"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地址：  </w:t>
      </w:r>
    </w:p>
    <w:p w14:paraId="74626D53">
      <w:pPr>
        <w:spacing w:line="579" w:lineRule="exact"/>
        <w:ind w:left="960" w:hanging="960" w:hangingChars="3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法定代表人：      </w:t>
      </w:r>
    </w:p>
    <w:p w14:paraId="7F090B60">
      <w:pPr>
        <w:adjustRightInd w:val="0"/>
        <w:snapToGrid w:val="0"/>
        <w:spacing w:line="579"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电话：</w:t>
      </w:r>
      <w:r>
        <w:rPr>
          <w:rFonts w:hint="eastAsia" w:eastAsia="仿宋_GB2312"/>
          <w:sz w:val="32"/>
          <w:szCs w:val="32"/>
        </w:rPr>
        <w:t xml:space="preserve">   </w:t>
      </w:r>
    </w:p>
    <w:p w14:paraId="19065664">
      <w:pPr>
        <w:adjustRightInd w:val="0"/>
        <w:snapToGrid w:val="0"/>
        <w:spacing w:line="579" w:lineRule="exact"/>
        <w:rPr>
          <w:rFonts w:hint="eastAsia" w:ascii="仿宋_GB2312" w:hAnsi="仿宋_GB2312" w:cs="仿宋_GB2312"/>
          <w:bCs/>
          <w:sz w:val="32"/>
          <w:szCs w:val="32"/>
        </w:rPr>
      </w:pPr>
      <w:r>
        <w:rPr>
          <w:rFonts w:hint="eastAsia" w:ascii="仿宋_GB2312" w:hAnsi="仿宋_GB2312" w:eastAsia="仿宋_GB2312" w:cs="仿宋_GB2312"/>
          <w:bCs/>
          <w:sz w:val="32"/>
          <w:szCs w:val="32"/>
        </w:rPr>
        <w:t>统一社会信用代码：</w:t>
      </w:r>
      <w:r>
        <w:rPr>
          <w:rFonts w:hint="eastAsia" w:eastAsia="仿宋_GB2312"/>
          <w:sz w:val="32"/>
          <w:szCs w:val="32"/>
        </w:rPr>
        <w:t xml:space="preserve">  </w:t>
      </w:r>
      <w:r>
        <w:rPr>
          <w:rFonts w:hint="eastAsia"/>
          <w:sz w:val="32"/>
          <w:szCs w:val="32"/>
        </w:rPr>
        <w:t xml:space="preserve">       </w:t>
      </w:r>
    </w:p>
    <w:p w14:paraId="232CFF30">
      <w:pPr>
        <w:spacing w:after="0" w:line="579" w:lineRule="exact"/>
        <w:rPr>
          <w:rFonts w:hint="eastAsia" w:ascii="仿宋_GB2312" w:hAnsi="仿宋_GB2312" w:eastAsia="仿宋_GB2312" w:cs="仿宋_GB2312"/>
          <w:b/>
          <w:sz w:val="32"/>
          <w:szCs w:val="32"/>
        </w:rPr>
      </w:pPr>
    </w:p>
    <w:p w14:paraId="1046AB82">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根据《中华人民共和国民法典》及有关法律法规的规定，双方在平等、自愿、互惠合作的基础上，甲方委托乙方就2026年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人工智能+</w:t>
      </w:r>
      <w:r>
        <w:rPr>
          <w:rFonts w:hint="eastAsia" w:ascii="仿宋_GB2312" w:hAnsi="仿宋_GB2312" w:eastAsia="仿宋_GB2312" w:cs="仿宋_GB2312"/>
          <w:sz w:val="32"/>
          <w:szCs w:val="32"/>
        </w:rPr>
        <w:t>电竞创新应用大赛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实施与服务项目有关事宜，经友好协商，达成如下协议：</w:t>
      </w:r>
    </w:p>
    <w:p w14:paraId="022E5041">
      <w:pPr>
        <w:numPr>
          <w:ilvl w:val="0"/>
          <w:numId w:val="3"/>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项目概况</w:t>
      </w:r>
    </w:p>
    <w:p w14:paraId="45C97FAA">
      <w:pPr>
        <w:adjustRightInd w:val="0"/>
        <w:snapToGrid w:val="0"/>
        <w:spacing w:after="0" w:line="579"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活动名称：</w:t>
      </w:r>
      <w:bookmarkStart w:id="1" w:name="OLE_LINK2"/>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人工智能+</w:t>
      </w:r>
      <w:r>
        <w:rPr>
          <w:rFonts w:hint="eastAsia" w:ascii="仿宋_GB2312" w:hAnsi="仿宋_GB2312" w:eastAsia="仿宋_GB2312" w:cs="仿宋_GB2312"/>
          <w:sz w:val="32"/>
          <w:szCs w:val="32"/>
        </w:rPr>
        <w:t>电竞</w:t>
      </w:r>
      <w:r>
        <w:rPr>
          <w:rFonts w:hint="eastAsia" w:ascii="仿宋_GB2312" w:hAnsi="仿宋_GB2312" w:eastAsia="仿宋_GB2312" w:cs="仿宋_GB2312"/>
          <w:sz w:val="32"/>
          <w:szCs w:val="32"/>
          <w:lang w:val="en"/>
        </w:rPr>
        <w:t>创新</w:t>
      </w:r>
      <w:r>
        <w:rPr>
          <w:rFonts w:hint="eastAsia" w:ascii="仿宋_GB2312" w:hAnsi="仿宋_GB2312" w:eastAsia="仿宋_GB2312" w:cs="仿宋_GB2312"/>
          <w:sz w:val="32"/>
          <w:szCs w:val="32"/>
        </w:rPr>
        <w:t>应用</w:t>
      </w:r>
      <w:r>
        <w:rPr>
          <w:rFonts w:hint="eastAsia" w:ascii="仿宋_GB2312" w:hAnsi="仿宋_GB2312" w:eastAsia="仿宋_GB2312" w:cs="仿宋_GB2312"/>
          <w:sz w:val="32"/>
          <w:szCs w:val="32"/>
          <w:lang w:val="en"/>
        </w:rPr>
        <w:t>大赛</w:t>
      </w:r>
      <w:bookmarkEnd w:id="1"/>
      <w:r>
        <w:rPr>
          <w:rFonts w:hint="eastAsia" w:ascii="仿宋_GB2312" w:hAnsi="仿宋_GB2312" w:eastAsia="仿宋_GB2312" w:cs="仿宋_GB2312"/>
          <w:sz w:val="32"/>
          <w:szCs w:val="32"/>
          <w:lang w:val="en" w:eastAsia="zh-CN"/>
        </w:rPr>
        <w:t>”</w:t>
      </w:r>
    </w:p>
    <w:p w14:paraId="5E33837C">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活动地点：南宁市 </w:t>
      </w:r>
    </w:p>
    <w:p w14:paraId="79481E02">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w:t>
      </w:r>
    </w:p>
    <w:p w14:paraId="5EB43D7E">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二、委托期限</w:t>
      </w:r>
    </w:p>
    <w:p w14:paraId="43A7F3E6">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仿宋_GB2312" w:hAnsi="仿宋_GB2312" w:eastAsia="仿宋_GB2312" w:cs="仿宋_GB2312"/>
          <w:sz w:val="32"/>
          <w:szCs w:val="32"/>
        </w:rPr>
        <w:t>委托期限为：自本协议生效之日起至活动结束并提交最终成果报告止。</w:t>
      </w:r>
    </w:p>
    <w:p w14:paraId="1D449254">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三、甲方的权利与义务</w:t>
      </w:r>
    </w:p>
    <w:p w14:paraId="6AAE56D6">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（一）甲方委托乙方就该大赛执行策划、运营、设备租赁、会场搭建、会务执行、成果推介服务等。</w:t>
      </w:r>
    </w:p>
    <w:p w14:paraId="3D464408">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w:t>
      </w:r>
      <w:r>
        <w:rPr>
          <w:rFonts w:hint="eastAsia" w:ascii="仿宋_GB2312" w:hAnsi="仿宋_GB2312" w:eastAsia="仿宋_GB2312" w:cs="仿宋_GB2312"/>
          <w:sz w:val="32"/>
          <w:szCs w:val="32"/>
          <w:lang w:eastAsia="zh-Hans"/>
        </w:rPr>
        <w:t>乙方</w:t>
      </w:r>
      <w:r>
        <w:rPr>
          <w:rFonts w:hint="eastAsia" w:ascii="仿宋_GB2312" w:hAnsi="仿宋_GB2312" w:eastAsia="仿宋_GB2312" w:cs="仿宋_GB2312"/>
          <w:sz w:val="32"/>
          <w:szCs w:val="32"/>
        </w:rPr>
        <w:t>提交给甲方的赛事执行方案等，甲方代表有权要求乙方进行补充和修改，方案的最终审定权属于甲方。</w:t>
      </w:r>
    </w:p>
    <w:p w14:paraId="4BACBD26">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w:t>
      </w:r>
      <w:r>
        <w:rPr>
          <w:rFonts w:hint="eastAsia" w:ascii="仿宋_GB2312" w:hAnsi="仿宋_GB2312" w:eastAsia="仿宋_GB2312" w:cs="仿宋_GB2312"/>
          <w:sz w:val="32"/>
          <w:szCs w:val="32"/>
          <w:lang w:eastAsia="zh-Hans"/>
        </w:rPr>
        <w:t>依据</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eastAsia="zh-Hans"/>
        </w:rPr>
        <w:t>所进行的</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活动以</w:t>
      </w:r>
      <w:r>
        <w:rPr>
          <w:rFonts w:hint="eastAsia" w:ascii="仿宋_GB2312" w:hAnsi="仿宋_GB2312" w:eastAsia="仿宋_GB2312" w:cs="仿宋_GB2312"/>
          <w:sz w:val="32"/>
          <w:szCs w:val="32"/>
        </w:rPr>
        <w:t>外，甲方有义务对乙方提交的所有方案资料保密，在</w:t>
      </w:r>
      <w:r>
        <w:rPr>
          <w:rFonts w:hint="eastAsia" w:ascii="仿宋_GB2312" w:hAnsi="仿宋_GB2312" w:eastAsia="仿宋_GB2312" w:cs="仿宋_GB2312"/>
          <w:sz w:val="32"/>
          <w:szCs w:val="32"/>
          <w:lang w:eastAsia="zh-Hans"/>
        </w:rPr>
        <w:t>项目所包含的活动</w:t>
      </w:r>
      <w:r>
        <w:rPr>
          <w:rFonts w:hint="eastAsia" w:ascii="仿宋_GB2312" w:hAnsi="仿宋_GB2312" w:eastAsia="仿宋_GB2312" w:cs="仿宋_GB2312"/>
          <w:sz w:val="32"/>
          <w:szCs w:val="32"/>
        </w:rPr>
        <w:t>具体执行前，甲方不</w:t>
      </w:r>
      <w:r>
        <w:rPr>
          <w:rFonts w:hint="eastAsia" w:ascii="仿宋_GB2312" w:hAnsi="仿宋_GB2312" w:eastAsia="仿宋_GB2312" w:cs="仿宋_GB2312"/>
          <w:sz w:val="32"/>
          <w:szCs w:val="32"/>
          <w:lang w:eastAsia="zh-Hans"/>
        </w:rPr>
        <w:t>得</w:t>
      </w:r>
      <w:r>
        <w:rPr>
          <w:rFonts w:hint="eastAsia" w:ascii="仿宋_GB2312" w:hAnsi="仿宋_GB2312" w:eastAsia="仿宋_GB2312" w:cs="仿宋_GB2312"/>
          <w:sz w:val="32"/>
          <w:szCs w:val="32"/>
        </w:rPr>
        <w:t>以任何形式向第三方披露</w:t>
      </w:r>
      <w:r>
        <w:rPr>
          <w:rFonts w:hint="eastAsia" w:ascii="仿宋_GB2312" w:hAnsi="仿宋_GB2312" w:eastAsia="仿宋_GB2312" w:cs="仿宋_GB2312"/>
          <w:sz w:val="32"/>
          <w:szCs w:val="32"/>
          <w:lang w:eastAsia="zh-Hans"/>
        </w:rPr>
        <w:t>相关活动的信息，也不得将</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方</w:t>
      </w:r>
      <w:r>
        <w:rPr>
          <w:rFonts w:hint="eastAsia" w:ascii="仿宋_GB2312" w:hAnsi="仿宋_GB2312" w:eastAsia="仿宋_GB2312" w:cs="仿宋_GB2312"/>
          <w:sz w:val="32"/>
          <w:szCs w:val="32"/>
        </w:rPr>
        <w:t>案中</w:t>
      </w:r>
      <w:r>
        <w:rPr>
          <w:rFonts w:hint="eastAsia" w:ascii="仿宋_GB2312" w:hAnsi="仿宋_GB2312" w:eastAsia="仿宋_GB2312" w:cs="仿宋_GB2312"/>
          <w:sz w:val="32"/>
          <w:szCs w:val="32"/>
          <w:lang w:eastAsia="zh-Hans"/>
        </w:rPr>
        <w:t>有</w:t>
      </w:r>
      <w:r>
        <w:rPr>
          <w:rFonts w:hint="eastAsia" w:ascii="仿宋_GB2312" w:hAnsi="仿宋_GB2312" w:eastAsia="仿宋_GB2312" w:cs="仿宋_GB2312"/>
          <w:sz w:val="32"/>
          <w:szCs w:val="32"/>
        </w:rPr>
        <w:t>关于活动主题、活动形式、活动内容的任何</w:t>
      </w:r>
      <w:r>
        <w:rPr>
          <w:rFonts w:hint="eastAsia" w:ascii="仿宋_GB2312" w:hAnsi="仿宋_GB2312" w:eastAsia="仿宋_GB2312" w:cs="仿宋_GB2312"/>
          <w:sz w:val="32"/>
          <w:szCs w:val="32"/>
          <w:lang w:eastAsia="zh-Hans"/>
        </w:rPr>
        <w:t>部分</w:t>
      </w:r>
      <w:r>
        <w:rPr>
          <w:rFonts w:hint="eastAsia" w:ascii="仿宋_GB2312" w:hAnsi="仿宋_GB2312" w:eastAsia="仿宋_GB2312" w:cs="仿宋_GB2312"/>
          <w:sz w:val="32"/>
          <w:szCs w:val="32"/>
        </w:rPr>
        <w:t>交由第三方变相实施。</w:t>
      </w:r>
    </w:p>
    <w:p w14:paraId="3CE13744">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（四）活动承办期间，甲方应积极配合乙方，及时提供本次服务有关的具体内容和相关资料，且保证材料的时效性与真实性。</w:t>
      </w:r>
    </w:p>
    <w:p w14:paraId="27120B17">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（五）甲方</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在本项目开展期间</w:t>
      </w:r>
      <w:r>
        <w:rPr>
          <w:rFonts w:hint="eastAsia" w:ascii="仿宋_GB2312" w:hAnsi="仿宋_GB2312" w:eastAsia="仿宋_GB2312" w:cs="仿宋_GB2312"/>
          <w:sz w:val="32"/>
          <w:szCs w:val="32"/>
          <w:lang w:eastAsia="zh-Hans"/>
        </w:rPr>
        <w:t>向乙方</w:t>
      </w:r>
      <w:r>
        <w:rPr>
          <w:rFonts w:hint="eastAsia" w:ascii="仿宋_GB2312" w:hAnsi="仿宋_GB2312" w:eastAsia="仿宋_GB2312" w:cs="仿宋_GB2312"/>
          <w:sz w:val="32"/>
          <w:szCs w:val="32"/>
        </w:rPr>
        <w:t>明确1-2名工作</w:t>
      </w:r>
      <w:r>
        <w:rPr>
          <w:rFonts w:hint="eastAsia" w:ascii="仿宋_GB2312" w:hAnsi="仿宋_GB2312" w:eastAsia="仿宋_GB2312" w:cs="仿宋_GB2312"/>
          <w:sz w:val="32"/>
          <w:szCs w:val="32"/>
          <w:lang w:eastAsia="zh-Hans"/>
        </w:rPr>
        <w:t>成果</w:t>
      </w:r>
      <w:r>
        <w:rPr>
          <w:rFonts w:hint="eastAsia" w:ascii="仿宋_GB2312" w:hAnsi="仿宋_GB2312" w:eastAsia="仿宋_GB2312" w:cs="仿宋_GB2312"/>
          <w:sz w:val="32"/>
          <w:szCs w:val="32"/>
        </w:rPr>
        <w:t>确认人，对乙方开展项目工作的情况予以检查、记录，并在乙方完成工作后的15个工作日内对乙方的服务工作成果予以验收、确认。</w:t>
      </w:r>
    </w:p>
    <w:p w14:paraId="7A402D98">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（六）活动如需审批，应由甲方自行负责，但乙方须提供必要协助。</w:t>
      </w:r>
    </w:p>
    <w:p w14:paraId="0B2221EC">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（七）双方未约定属于乙方服务内容以外的事项，由甲方自行负责。</w:t>
      </w:r>
    </w:p>
    <w:p w14:paraId="377C1E65">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四、乙方的权利与义务</w:t>
      </w:r>
    </w:p>
    <w:p w14:paraId="2FA6E35B">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w:t>
      </w:r>
      <w:r>
        <w:rPr>
          <w:rFonts w:hint="eastAsia" w:ascii="仿宋_GB2312" w:hAnsi="仿宋_GB2312" w:eastAsia="仿宋_GB2312" w:cs="仿宋_GB2312"/>
          <w:sz w:val="32"/>
          <w:szCs w:val="32"/>
          <w:lang w:eastAsia="zh-Hans"/>
        </w:rPr>
        <w:t>乙方执行项目活动的</w:t>
      </w:r>
      <w:r>
        <w:rPr>
          <w:rFonts w:hint="eastAsia" w:ascii="仿宋_GB2312" w:hAnsi="仿宋_GB2312" w:eastAsia="仿宋_GB2312" w:cs="仿宋_GB2312"/>
          <w:sz w:val="32"/>
          <w:szCs w:val="32"/>
        </w:rPr>
        <w:t>过程中，甲乙双方都有权利对方案提出修改建议，原定方案如</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修改，或乙方认为方案须根据实际情况进行调整的，应及时征求甲方意见同意后按甲方同意的方案实施（包括</w:t>
      </w:r>
      <w:r>
        <w:rPr>
          <w:rFonts w:hint="eastAsia" w:ascii="仿宋_GB2312" w:hAnsi="仿宋_GB2312" w:eastAsia="仿宋_GB2312" w:cs="仿宋_GB2312"/>
          <w:sz w:val="32"/>
          <w:szCs w:val="32"/>
          <w:lang w:val="en-US" w:eastAsia="zh-CN"/>
        </w:rPr>
        <w:t>但</w:t>
      </w:r>
      <w:r>
        <w:rPr>
          <w:rFonts w:hint="eastAsia" w:ascii="仿宋_GB2312" w:hAnsi="仿宋_GB2312" w:eastAsia="仿宋_GB2312" w:cs="仿宋_GB2312"/>
          <w:sz w:val="32"/>
          <w:szCs w:val="32"/>
        </w:rPr>
        <w:t>不限于微信、QQ、短信和邮件等）。</w:t>
      </w:r>
    </w:p>
    <w:p w14:paraId="306CEBA8">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（二）乙方需按照《2026年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人工智能+电竞创新应用大赛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实施与服务</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采购需求及评分标准》的要求切实履行各项服务义务，并配合甲方做好服务工作，</w:t>
      </w:r>
      <w:r>
        <w:rPr>
          <w:rFonts w:hint="eastAsia" w:ascii="仿宋_GB2312" w:hAnsi="仿宋_GB2312" w:eastAsia="仿宋_GB2312" w:cs="仿宋_GB2312"/>
          <w:sz w:val="32"/>
          <w:szCs w:val="32"/>
          <w:lang w:eastAsia="zh-Hans"/>
        </w:rPr>
        <w:t>保证</w:t>
      </w:r>
      <w:r>
        <w:rPr>
          <w:rFonts w:hint="eastAsia" w:ascii="仿宋_GB2312" w:hAnsi="仿宋_GB2312" w:eastAsia="仿宋_GB2312" w:cs="仿宋_GB2312"/>
          <w:sz w:val="32"/>
          <w:szCs w:val="32"/>
        </w:rPr>
        <w:t>该活动的顺利进行。不得将项目服务工作非法转包或未经甲方同意而分包给任何单位和个人。</w:t>
      </w:r>
    </w:p>
    <w:p w14:paraId="5D995E73">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（三）除</w:t>
      </w:r>
      <w:r>
        <w:rPr>
          <w:rFonts w:hint="eastAsia" w:ascii="仿宋_GB2312" w:hAnsi="仿宋_GB2312" w:eastAsia="仿宋_GB2312" w:cs="仿宋_GB2312"/>
          <w:sz w:val="32"/>
          <w:szCs w:val="32"/>
          <w:lang w:eastAsia="zh-Hans"/>
        </w:rPr>
        <w:t>因履行</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eastAsia="zh-Hans"/>
        </w:rPr>
        <w:t>相关资料或</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活动</w:t>
      </w:r>
      <w:r>
        <w:rPr>
          <w:rFonts w:hint="eastAsia" w:ascii="仿宋_GB2312" w:hAnsi="仿宋_GB2312" w:eastAsia="仿宋_GB2312" w:cs="仿宋_GB2312"/>
          <w:sz w:val="32"/>
          <w:szCs w:val="32"/>
        </w:rPr>
        <w:t>外，乙方对甲方</w:t>
      </w:r>
      <w:r>
        <w:rPr>
          <w:rFonts w:hint="eastAsia" w:ascii="仿宋_GB2312" w:hAnsi="仿宋_GB2312" w:eastAsia="仿宋_GB2312" w:cs="仿宋_GB2312"/>
          <w:sz w:val="32"/>
          <w:szCs w:val="32"/>
          <w:lang w:eastAsia="zh-Hans"/>
        </w:rPr>
        <w:t>所</w:t>
      </w:r>
      <w:r>
        <w:rPr>
          <w:rFonts w:hint="eastAsia" w:ascii="仿宋_GB2312" w:hAnsi="仿宋_GB2312" w:eastAsia="仿宋_GB2312" w:cs="仿宋_GB2312"/>
          <w:sz w:val="32"/>
          <w:szCs w:val="32"/>
        </w:rPr>
        <w:t>提交的资料负有严格保密义务。</w:t>
      </w:r>
    </w:p>
    <w:p w14:paraId="5FC95A7C">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（四）乙方负责服务期间的安全管理，</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确保服务</w:t>
      </w:r>
      <w:r>
        <w:rPr>
          <w:rFonts w:hint="eastAsia" w:ascii="仿宋_GB2312" w:hAnsi="仿宋_GB2312" w:eastAsia="仿宋_GB2312" w:cs="仿宋_GB2312"/>
          <w:sz w:val="32"/>
          <w:szCs w:val="32"/>
          <w:lang w:eastAsia="zh-Hans"/>
        </w:rPr>
        <w:t>过程中的</w:t>
      </w:r>
      <w:r>
        <w:rPr>
          <w:rFonts w:hint="eastAsia" w:ascii="仿宋_GB2312" w:hAnsi="仿宋_GB2312" w:eastAsia="仿宋_GB2312" w:cs="仿宋_GB2312"/>
          <w:sz w:val="32"/>
          <w:szCs w:val="32"/>
        </w:rPr>
        <w:t>安全，如服务期间发生</w:t>
      </w:r>
      <w:r>
        <w:rPr>
          <w:rFonts w:hint="eastAsia" w:ascii="仿宋_GB2312" w:hAnsi="仿宋_GB2312" w:eastAsia="仿宋_GB2312" w:cs="仿宋_GB2312"/>
          <w:sz w:val="32"/>
          <w:szCs w:val="32"/>
          <w:lang w:eastAsia="zh-Hans"/>
        </w:rPr>
        <w:t>因乙方原因</w:t>
      </w:r>
      <w:r>
        <w:rPr>
          <w:rFonts w:hint="eastAsia" w:ascii="仿宋_GB2312" w:hAnsi="仿宋_GB2312" w:eastAsia="仿宋_GB2312" w:cs="仿宋_GB2312"/>
          <w:sz w:val="32"/>
          <w:szCs w:val="32"/>
        </w:rPr>
        <w:t>或因乙方管理不当而</w:t>
      </w:r>
      <w:r>
        <w:rPr>
          <w:rFonts w:hint="eastAsia" w:ascii="仿宋_GB2312" w:hAnsi="仿宋_GB2312" w:eastAsia="仿宋_GB2312" w:cs="仿宋_GB2312"/>
          <w:sz w:val="32"/>
          <w:szCs w:val="32"/>
          <w:lang w:eastAsia="zh-Hans"/>
        </w:rPr>
        <w:t>导致的</w:t>
      </w:r>
      <w:r>
        <w:rPr>
          <w:rFonts w:hint="eastAsia" w:ascii="仿宋_GB2312" w:hAnsi="仿宋_GB2312" w:eastAsia="仿宋_GB2312" w:cs="仿宋_GB2312"/>
          <w:sz w:val="32"/>
          <w:szCs w:val="32"/>
        </w:rPr>
        <w:t>安全事故，由乙方负责处理</w:t>
      </w:r>
      <w:r>
        <w:rPr>
          <w:rFonts w:hint="eastAsia" w:ascii="仿宋_GB2312" w:hAnsi="仿宋_GB2312" w:eastAsia="仿宋_GB2312" w:cs="仿宋_GB2312"/>
          <w:sz w:val="32"/>
          <w:szCs w:val="32"/>
          <w:lang w:eastAsia="zh-Hans"/>
        </w:rPr>
        <w:t>并承担相应损失赔偿等责任</w:t>
      </w:r>
      <w:r>
        <w:rPr>
          <w:rFonts w:hint="eastAsia" w:ascii="仿宋_GB2312" w:hAnsi="仿宋_GB2312" w:eastAsia="仿宋_GB2312" w:cs="仿宋_GB2312"/>
          <w:sz w:val="32"/>
          <w:szCs w:val="32"/>
        </w:rPr>
        <w:t>，甲方亦有义务协助处理。</w:t>
      </w:r>
    </w:p>
    <w:p w14:paraId="4AA138CA">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（五）乙方负责服务期间相关设施设备的保管，服务结束后，乙方负责拆除相关的设施设备，并清理相关的场地。</w:t>
      </w:r>
    </w:p>
    <w:p w14:paraId="260C6CE2">
      <w:pPr>
        <w:adjustRightInd w:val="0"/>
        <w:snapToGrid w:val="0"/>
        <w:spacing w:after="0"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Hans"/>
        </w:rPr>
        <w:t>双方</w:t>
      </w:r>
      <w:r>
        <w:rPr>
          <w:rFonts w:hint="eastAsia" w:ascii="仿宋_GB2312" w:hAnsi="仿宋_GB2312" w:eastAsia="仿宋_GB2312" w:cs="仿宋_GB2312"/>
          <w:sz w:val="32"/>
          <w:szCs w:val="32"/>
        </w:rPr>
        <w:t>合作期间，甲方委托其他合作方负责的工作项目与效果评估</w:t>
      </w:r>
      <w:r>
        <w:rPr>
          <w:rFonts w:hint="eastAsia" w:ascii="仿宋_GB2312" w:hAnsi="仿宋_GB2312" w:eastAsia="仿宋_GB2312" w:cs="仿宋_GB2312"/>
          <w:sz w:val="32"/>
          <w:szCs w:val="32"/>
          <w:lang w:eastAsia="zh-Hans"/>
        </w:rPr>
        <w:t>均</w:t>
      </w:r>
      <w:r>
        <w:rPr>
          <w:rFonts w:hint="eastAsia" w:ascii="仿宋_GB2312" w:hAnsi="仿宋_GB2312" w:eastAsia="仿宋_GB2312" w:cs="仿宋_GB2312"/>
          <w:sz w:val="32"/>
          <w:szCs w:val="32"/>
        </w:rPr>
        <w:t>与本协议无关，</w:t>
      </w:r>
      <w:r>
        <w:rPr>
          <w:rFonts w:hint="eastAsia" w:ascii="仿宋_GB2312" w:hAnsi="仿宋_GB2312" w:eastAsia="仿宋_GB2312" w:cs="仿宋_GB2312"/>
          <w:sz w:val="32"/>
          <w:szCs w:val="32"/>
          <w:lang w:eastAsia="zh-Hans"/>
        </w:rPr>
        <w:t>由此引发的</w:t>
      </w:r>
      <w:r>
        <w:rPr>
          <w:rFonts w:hint="eastAsia" w:ascii="仿宋_GB2312" w:hAnsi="仿宋_GB2312" w:eastAsia="仿宋_GB2312" w:cs="仿宋_GB2312"/>
          <w:sz w:val="32"/>
          <w:szCs w:val="32"/>
        </w:rPr>
        <w:t>法律责任</w:t>
      </w:r>
      <w:r>
        <w:rPr>
          <w:rFonts w:hint="eastAsia" w:ascii="仿宋_GB2312" w:hAnsi="仿宋_GB2312" w:eastAsia="仿宋_GB2312" w:cs="仿宋_GB2312"/>
          <w:sz w:val="32"/>
          <w:szCs w:val="32"/>
          <w:lang w:eastAsia="zh-Hans"/>
        </w:rPr>
        <w:t>与可能产生的纠纷</w:t>
      </w:r>
      <w:r>
        <w:rPr>
          <w:rFonts w:hint="eastAsia" w:ascii="仿宋_GB2312" w:hAnsi="仿宋_GB2312" w:eastAsia="仿宋_GB2312" w:cs="仿宋_GB2312"/>
          <w:sz w:val="32"/>
          <w:szCs w:val="32"/>
        </w:rPr>
        <w:t>亦与乙方无关，但乙方可以针对甲方情况给予必要的指导意见。</w:t>
      </w:r>
    </w:p>
    <w:p w14:paraId="45B9E93A">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五、费用及支付方式</w:t>
      </w:r>
    </w:p>
    <w:p w14:paraId="083528B8">
      <w:pPr>
        <w:autoSpaceDN w:val="0"/>
        <w:spacing w:after="0" w:line="579"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（一）本协议最终费用包干结算，总金额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（人民币大写）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，详见附件。</w:t>
      </w:r>
    </w:p>
    <w:p w14:paraId="7A67DBBA">
      <w:pPr>
        <w:pStyle w:val="21"/>
        <w:adjustRightInd w:val="0"/>
        <w:snapToGrid w:val="0"/>
        <w:spacing w:after="0" w:line="579" w:lineRule="exact"/>
        <w:ind w:firstLine="576" w:firstLineChars="1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（二）项目费用支付方式：</w:t>
      </w:r>
    </w:p>
    <w:p w14:paraId="7D657A4F">
      <w:pPr>
        <w:numPr>
          <w:ilvl w:val="255"/>
          <w:numId w:val="0"/>
        </w:num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1.自合同签订之日起，十个工作日内预支付合同总金额的45%。</w:t>
      </w:r>
    </w:p>
    <w:p w14:paraId="39121FC3">
      <w:p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2.根据项目进度，完成决赛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所有配套活动</w:t>
      </w:r>
      <w:r>
        <w:rPr>
          <w:rFonts w:hint="eastAsia" w:ascii="Times New Roman" w:hAnsi="Times New Roman" w:eastAsia="仿宋_GB2312" w:cs="Times New Roman"/>
          <w:sz w:val="32"/>
          <w:szCs w:val="32"/>
        </w:rPr>
        <w:t>并提交赛事总体情况报告</w:t>
      </w:r>
      <w:r>
        <w:rPr>
          <w:rFonts w:hint="eastAsia" w:ascii="Times New Roman" w:hAnsi="Times New Roman" w:eastAsia="仿宋_GB2312" w:cs="Times New Roman"/>
          <w:sz w:val="32"/>
          <w:szCs w:val="32"/>
          <w:lang w:val="en-US" w:eastAsia="zh-CN"/>
        </w:rPr>
        <w:t>经甲方确认</w:t>
      </w:r>
      <w:r>
        <w:rPr>
          <w:rFonts w:hint="eastAsia" w:ascii="Times New Roman" w:hAnsi="Times New Roman" w:eastAsia="仿宋_GB2312" w:cs="Times New Roman"/>
          <w:sz w:val="32"/>
          <w:szCs w:val="32"/>
        </w:rPr>
        <w:t>后支付合同总金额的50%。</w:t>
      </w:r>
    </w:p>
    <w:p w14:paraId="07594772">
      <w:p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3.项目通过</w:t>
      </w:r>
      <w:r>
        <w:rPr>
          <w:rFonts w:hint="eastAsia" w:ascii="Times New Roman" w:hAnsi="Times New Roman" w:eastAsia="仿宋_GB2312" w:cs="Times New Roman"/>
          <w:sz w:val="32"/>
          <w:szCs w:val="32"/>
          <w:lang w:val="en-US" w:eastAsia="zh-CN"/>
        </w:rPr>
        <w:t>专家</w:t>
      </w:r>
      <w:r>
        <w:rPr>
          <w:rFonts w:hint="eastAsia" w:ascii="Times New Roman" w:hAnsi="Times New Roman" w:eastAsia="仿宋_GB2312" w:cs="Times New Roman"/>
          <w:sz w:val="32"/>
          <w:szCs w:val="32"/>
        </w:rPr>
        <w:t>验收后，支付合同总金额的5%。</w:t>
      </w:r>
    </w:p>
    <w:p w14:paraId="07169E75">
      <w:pPr>
        <w:spacing w:after="0"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每次付款前，成交供应商需提供发票和请款函。</w:t>
      </w:r>
    </w:p>
    <w:p w14:paraId="09C9B145">
      <w:pPr>
        <w:pStyle w:val="21"/>
        <w:adjustRightInd w:val="0"/>
        <w:snapToGrid w:val="0"/>
        <w:spacing w:after="0" w:line="579"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（三）甲方所有付款均支付到乙方在本协议指定的账户，乙方应按指定的甲方发票信息开具发票。</w:t>
      </w:r>
    </w:p>
    <w:p w14:paraId="031C6BA6">
      <w:pPr>
        <w:pStyle w:val="21"/>
        <w:adjustRightInd w:val="0"/>
        <w:snapToGrid w:val="0"/>
        <w:spacing w:after="0" w:line="579"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甲方发票、乙方账户信息内容为：</w:t>
      </w:r>
    </w:p>
    <w:p w14:paraId="745A66DD">
      <w:pPr>
        <w:pStyle w:val="21"/>
        <w:adjustRightInd w:val="0"/>
        <w:snapToGrid w:val="0"/>
        <w:spacing w:after="0" w:line="579" w:lineRule="exact"/>
        <w:ind w:firstLine="643"/>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甲方开票信息：</w:t>
      </w:r>
    </w:p>
    <w:p w14:paraId="4B2928E5">
      <w:pPr>
        <w:pStyle w:val="21"/>
        <w:adjustRightInd w:val="0"/>
        <w:snapToGrid w:val="0"/>
        <w:spacing w:after="0" w:line="579"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bCs/>
          <w:sz w:val="32"/>
          <w:szCs w:val="32"/>
          <w:lang w:eastAsia="zh-Hans"/>
        </w:rPr>
        <w:t>广西壮族自治区大数据发展局</w:t>
      </w:r>
    </w:p>
    <w:p w14:paraId="0512A64C">
      <w:pPr>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开户行：建设银行广西壮族自治区分行营业部</w:t>
      </w:r>
    </w:p>
    <w:p w14:paraId="37826190">
      <w:pPr>
        <w:pStyle w:val="21"/>
        <w:adjustRightInd w:val="0"/>
        <w:snapToGrid w:val="0"/>
        <w:spacing w:after="0" w:line="579"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账号：45050159415100001078</w:t>
      </w:r>
    </w:p>
    <w:p w14:paraId="1FE5B4BF">
      <w:pPr>
        <w:spacing w:after="0" w:line="579" w:lineRule="exact"/>
        <w:ind w:firstLine="630" w:firstLineChars="197"/>
        <w:rPr>
          <w:rFonts w:hint="eastAsia" w:ascii="仿宋_GB2312" w:hAnsi="仿宋_GB2312" w:eastAsia="仿宋_GB2312" w:cs="仿宋_GB2312"/>
          <w:spacing w:val="-12"/>
          <w:sz w:val="32"/>
          <w:szCs w:val="32"/>
        </w:rPr>
      </w:pPr>
      <w:r>
        <w:rPr>
          <w:rFonts w:hint="eastAsia" w:ascii="仿宋_GB2312" w:hAnsi="仿宋_GB2312" w:eastAsia="仿宋_GB2312" w:cs="仿宋_GB2312"/>
          <w:sz w:val="32"/>
          <w:szCs w:val="32"/>
        </w:rPr>
        <w:t>单位地址：南宁市良庆区体强路18号</w:t>
      </w:r>
    </w:p>
    <w:p w14:paraId="4A53B849">
      <w:pPr>
        <w:pStyle w:val="21"/>
        <w:adjustRightInd w:val="0"/>
        <w:snapToGrid w:val="0"/>
        <w:spacing w:after="0" w:line="579"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单位电话：0771-6116993</w:t>
      </w:r>
    </w:p>
    <w:p w14:paraId="08D1AB81">
      <w:pPr>
        <w:adjustRightInd w:val="0"/>
        <w:snapToGrid w:val="0"/>
        <w:spacing w:after="0" w:line="579" w:lineRule="exact"/>
        <w:ind w:firstLine="580" w:firstLineChars="196"/>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纳税人识别号或统一社会信用代码：11450000MB1958966A</w:t>
      </w:r>
    </w:p>
    <w:p w14:paraId="6EAD2550">
      <w:pPr>
        <w:adjustRightInd w:val="0"/>
        <w:snapToGrid w:val="0"/>
        <w:spacing w:after="0" w:line="579" w:lineRule="exact"/>
        <w:ind w:firstLine="630" w:firstLineChars="196"/>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乙方收款账户信息：</w:t>
      </w:r>
    </w:p>
    <w:p w14:paraId="037D69C6">
      <w:pPr>
        <w:pStyle w:val="8"/>
        <w:widowControl/>
        <w:spacing w:beforeAutospacing="0" w:after="0" w:afterAutospacing="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 </w:t>
      </w:r>
    </w:p>
    <w:p w14:paraId="7D4F8035">
      <w:pPr>
        <w:pStyle w:val="8"/>
        <w:widowControl/>
        <w:spacing w:beforeAutospacing="0" w:after="0" w:afterAutospacing="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 </w:t>
      </w:r>
    </w:p>
    <w:p w14:paraId="6DF662B1">
      <w:pPr>
        <w:pStyle w:val="8"/>
        <w:widowControl/>
        <w:spacing w:beforeAutospacing="0" w:after="0" w:afterAutospacing="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w:t>
      </w:r>
    </w:p>
    <w:p w14:paraId="203520CE">
      <w:pPr>
        <w:spacing w:after="0" w:line="579" w:lineRule="exact"/>
        <w:ind w:firstLine="630" w:firstLineChars="197"/>
        <w:rPr>
          <w:rFonts w:hint="eastAsia" w:ascii="仿宋_GB2312" w:hAnsi="仿宋_GB2312" w:eastAsia="仿宋_GB2312" w:cs="仿宋_GB2312"/>
          <w:spacing w:val="-12"/>
          <w:sz w:val="32"/>
          <w:szCs w:val="32"/>
        </w:rPr>
      </w:pPr>
      <w:r>
        <w:rPr>
          <w:rFonts w:hint="eastAsia" w:ascii="仿宋_GB2312" w:hAnsi="仿宋_GB2312" w:eastAsia="仿宋_GB2312" w:cs="仿宋_GB2312"/>
          <w:sz w:val="32"/>
          <w:szCs w:val="32"/>
        </w:rPr>
        <w:t xml:space="preserve">单位地址： </w:t>
      </w:r>
    </w:p>
    <w:p w14:paraId="31384618">
      <w:pPr>
        <w:pStyle w:val="8"/>
        <w:widowControl/>
        <w:spacing w:beforeAutospacing="0" w:after="0" w:afterAutospacing="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p>
    <w:p w14:paraId="56E5D697">
      <w:pPr>
        <w:pStyle w:val="21"/>
        <w:adjustRightInd w:val="0"/>
        <w:snapToGrid w:val="0"/>
        <w:spacing w:after="0" w:line="579" w:lineRule="exact"/>
        <w:ind w:firstLine="592"/>
        <w:jc w:val="left"/>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纳税人识别号或统一社会信用代码：</w:t>
      </w:r>
    </w:p>
    <w:p w14:paraId="4A6650D2">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六、违约条款</w:t>
      </w:r>
    </w:p>
    <w:p w14:paraId="52376CB1">
      <w:pPr>
        <w:adjustRightInd w:val="0"/>
        <w:snapToGrid w:val="0"/>
        <w:spacing w:after="0" w:line="579"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（一）在协议履行期间，双方应当严格按照协议的约定履行，</w:t>
      </w:r>
      <w:r>
        <w:rPr>
          <w:rFonts w:hint="eastAsia" w:ascii="仿宋_GB2312" w:hAnsi="仿宋_GB2312" w:eastAsia="仿宋_GB2312" w:cs="仿宋_GB2312"/>
          <w:sz w:val="32"/>
          <w:szCs w:val="32"/>
          <w:lang w:eastAsia="zh-Hans"/>
        </w:rPr>
        <w:t>任</w:t>
      </w:r>
      <w:r>
        <w:rPr>
          <w:rFonts w:hint="eastAsia" w:ascii="仿宋_GB2312" w:hAnsi="仿宋_GB2312" w:eastAsia="仿宋_GB2312" w:cs="仿宋_GB2312"/>
          <w:sz w:val="32"/>
          <w:szCs w:val="32"/>
        </w:rPr>
        <w:t>意</w:t>
      </w:r>
      <w:r>
        <w:rPr>
          <w:rFonts w:hint="eastAsia" w:ascii="仿宋_GB2312" w:hAnsi="仿宋_GB2312" w:eastAsia="仿宋_GB2312" w:cs="仿宋_GB2312"/>
          <w:sz w:val="32"/>
          <w:szCs w:val="32"/>
          <w:lang w:eastAsia="zh-Hans"/>
        </w:rPr>
        <w:t>一方</w:t>
      </w:r>
      <w:r>
        <w:rPr>
          <w:rFonts w:hint="eastAsia" w:ascii="仿宋_GB2312" w:hAnsi="仿宋_GB2312" w:eastAsia="仿宋_GB2312" w:cs="仿宋_GB2312"/>
          <w:sz w:val="32"/>
          <w:szCs w:val="32"/>
        </w:rPr>
        <w:t>未按照协议的约定履行</w:t>
      </w:r>
      <w:r>
        <w:rPr>
          <w:rFonts w:hint="eastAsia" w:ascii="仿宋_GB2312" w:hAnsi="仿宋_GB2312" w:eastAsia="仿宋_GB2312" w:cs="仿宋_GB2312"/>
          <w:sz w:val="32"/>
          <w:szCs w:val="32"/>
          <w:lang w:eastAsia="zh-Hans"/>
        </w:rPr>
        <w:t>本协议</w:t>
      </w:r>
      <w:r>
        <w:rPr>
          <w:rFonts w:hint="eastAsia" w:ascii="仿宋_GB2312" w:hAnsi="仿宋_GB2312" w:eastAsia="仿宋_GB2312" w:cs="仿宋_GB2312"/>
          <w:sz w:val="32"/>
          <w:szCs w:val="32"/>
        </w:rPr>
        <w:t>，造成对方损失的，</w:t>
      </w:r>
      <w:r>
        <w:rPr>
          <w:rFonts w:hint="eastAsia" w:ascii="仿宋_GB2312" w:hAnsi="仿宋_GB2312" w:eastAsia="仿宋_GB2312" w:cs="仿宋_GB2312"/>
          <w:sz w:val="32"/>
          <w:szCs w:val="32"/>
          <w:lang w:eastAsia="zh-Hans"/>
        </w:rPr>
        <w:t>应向对方</w:t>
      </w:r>
      <w:r>
        <w:rPr>
          <w:rFonts w:hint="eastAsia" w:ascii="仿宋_GB2312" w:hAnsi="仿宋_GB2312" w:eastAsia="仿宋_GB2312" w:cs="仿宋_GB2312"/>
          <w:sz w:val="32"/>
          <w:szCs w:val="32"/>
        </w:rPr>
        <w:t>赔偿由此造成的全部损失</w:t>
      </w:r>
      <w:r>
        <w:rPr>
          <w:rFonts w:hint="eastAsia" w:ascii="仿宋_GB2312" w:hAnsi="仿宋_GB2312" w:eastAsia="仿宋_GB2312" w:cs="仿宋_GB2312"/>
          <w:sz w:val="32"/>
          <w:szCs w:val="32"/>
          <w:lang w:eastAsia="zh-Hans"/>
        </w:rPr>
        <w:t>。</w:t>
      </w:r>
    </w:p>
    <w:p w14:paraId="3351AB6D">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（二）甲方在乙方执行过程中</w:t>
      </w:r>
      <w:r>
        <w:rPr>
          <w:rFonts w:hint="eastAsia" w:ascii="仿宋_GB2312" w:hAnsi="仿宋_GB2312" w:eastAsia="仿宋_GB2312" w:cs="仿宋_GB2312"/>
          <w:sz w:val="32"/>
          <w:szCs w:val="32"/>
          <w:lang w:eastAsia="zh-Hans"/>
        </w:rPr>
        <w:t>无故</w:t>
      </w:r>
      <w:r>
        <w:rPr>
          <w:rFonts w:hint="eastAsia" w:ascii="仿宋_GB2312" w:hAnsi="仿宋_GB2312" w:eastAsia="仿宋_GB2312" w:cs="仿宋_GB2312"/>
          <w:sz w:val="32"/>
          <w:szCs w:val="32"/>
        </w:rPr>
        <w:t>终止</w:t>
      </w:r>
      <w:r>
        <w:rPr>
          <w:rFonts w:hint="eastAsia" w:ascii="仿宋_GB2312" w:hAnsi="仿宋_GB2312" w:eastAsia="仿宋_GB2312" w:cs="仿宋_GB2312"/>
          <w:sz w:val="32"/>
          <w:szCs w:val="32"/>
          <w:lang w:eastAsia="zh-Hans"/>
        </w:rPr>
        <w:t>本</w:t>
      </w:r>
      <w:r>
        <w:rPr>
          <w:rFonts w:hint="eastAsia" w:ascii="仿宋_GB2312" w:hAnsi="仿宋_GB2312" w:eastAsia="仿宋_GB2312" w:cs="仿宋_GB2312"/>
          <w:sz w:val="32"/>
          <w:szCs w:val="32"/>
        </w:rPr>
        <w:t>协议的，应</w:t>
      </w:r>
      <w:r>
        <w:rPr>
          <w:rFonts w:hint="eastAsia" w:ascii="仿宋_GB2312" w:hAnsi="仿宋_GB2312" w:eastAsia="仿宋_GB2312" w:cs="仿宋_GB2312"/>
          <w:sz w:val="32"/>
          <w:szCs w:val="32"/>
          <w:lang w:eastAsia="zh-Hans"/>
        </w:rPr>
        <w:t>向</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Hans"/>
        </w:rPr>
        <w:t>支付乙方</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eastAsia="zh-Hans"/>
        </w:rPr>
        <w:t>本协议所</w:t>
      </w:r>
      <w:r>
        <w:rPr>
          <w:rFonts w:hint="eastAsia" w:ascii="仿宋_GB2312" w:hAnsi="仿宋_GB2312" w:eastAsia="仿宋_GB2312" w:cs="仿宋_GB2312"/>
          <w:sz w:val="32"/>
          <w:szCs w:val="32"/>
        </w:rPr>
        <w:t>产生的费用</w:t>
      </w:r>
      <w:r>
        <w:rPr>
          <w:rFonts w:hint="eastAsia" w:ascii="仿宋_GB2312" w:hAnsi="仿宋_GB2312" w:eastAsia="仿宋_GB2312" w:cs="仿宋_GB2312"/>
          <w:sz w:val="32"/>
          <w:szCs w:val="32"/>
          <w:lang w:eastAsia="zh-Hans"/>
        </w:rPr>
        <w:t>以及</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Hans"/>
        </w:rPr>
        <w:t>（违约金为</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w:t>
      </w:r>
    </w:p>
    <w:p w14:paraId="5F2A485E">
      <w:pPr>
        <w:adjustRightInd w:val="0"/>
        <w:snapToGrid w:val="0"/>
        <w:spacing w:after="0" w:line="579"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（三）乙方如无正当理由提前终止协议或拒不履行协议，</w:t>
      </w:r>
      <w:r>
        <w:rPr>
          <w:rFonts w:hint="eastAsia" w:ascii="仿宋_GB2312" w:hAnsi="仿宋_GB2312" w:eastAsia="仿宋_GB2312" w:cs="仿宋_GB2312"/>
          <w:sz w:val="32"/>
          <w:szCs w:val="32"/>
          <w:lang w:eastAsia="zh-Hans"/>
        </w:rPr>
        <w:t>给甲方造成损失的，乙方</w:t>
      </w:r>
      <w:r>
        <w:rPr>
          <w:rFonts w:hint="eastAsia" w:ascii="仿宋_GB2312" w:hAnsi="仿宋_GB2312" w:eastAsia="仿宋_GB2312" w:cs="仿宋_GB2312"/>
          <w:sz w:val="32"/>
          <w:szCs w:val="32"/>
        </w:rPr>
        <w:t>应按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总金额的20%向甲方支付</w:t>
      </w:r>
      <w:r>
        <w:rPr>
          <w:rFonts w:hint="eastAsia" w:ascii="仿宋_GB2312" w:hAnsi="仿宋_GB2312" w:eastAsia="仿宋_GB2312" w:cs="仿宋_GB2312"/>
          <w:sz w:val="32"/>
          <w:szCs w:val="32"/>
          <w:lang w:eastAsia="zh-Hans"/>
        </w:rPr>
        <w:t>违约金</w:t>
      </w:r>
      <w:r>
        <w:rPr>
          <w:rFonts w:hint="eastAsia" w:ascii="仿宋_GB2312" w:hAnsi="仿宋_GB2312" w:eastAsia="仿宋_GB2312" w:cs="仿宋_GB2312"/>
          <w:sz w:val="32"/>
          <w:szCs w:val="32"/>
        </w:rPr>
        <w:t>，并</w:t>
      </w:r>
      <w:r>
        <w:rPr>
          <w:rFonts w:hint="eastAsia" w:ascii="仿宋_GB2312" w:hAnsi="仿宋_GB2312" w:eastAsia="仿宋_GB2312" w:cs="仿宋_GB2312"/>
          <w:sz w:val="32"/>
          <w:szCs w:val="32"/>
          <w:lang w:eastAsia="zh-Hans"/>
        </w:rPr>
        <w:t>承担</w:t>
      </w:r>
      <w:r>
        <w:rPr>
          <w:rFonts w:hint="eastAsia" w:ascii="仿宋_GB2312" w:hAnsi="仿宋_GB2312" w:eastAsia="仿宋_GB2312" w:cs="仿宋_GB2312"/>
          <w:sz w:val="32"/>
          <w:szCs w:val="32"/>
        </w:rPr>
        <w:t>损失</w:t>
      </w:r>
      <w:r>
        <w:rPr>
          <w:rFonts w:hint="eastAsia" w:ascii="仿宋_GB2312" w:hAnsi="仿宋_GB2312" w:eastAsia="仿宋_GB2312" w:cs="仿宋_GB2312"/>
          <w:sz w:val="32"/>
          <w:szCs w:val="32"/>
          <w:lang w:eastAsia="zh-Hans"/>
        </w:rPr>
        <w:t>赔偿责任。</w:t>
      </w:r>
    </w:p>
    <w:p w14:paraId="74271AD5">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（四）甲方应按协议约定及时向乙方付款。</w:t>
      </w:r>
      <w:r>
        <w:rPr>
          <w:rFonts w:hint="eastAsia" w:ascii="仿宋_GB2312" w:hAnsi="仿宋_GB2312" w:eastAsia="仿宋_GB2312" w:cs="仿宋_GB2312"/>
          <w:sz w:val="32"/>
          <w:szCs w:val="32"/>
          <w:lang w:eastAsia="zh-Hans"/>
        </w:rPr>
        <w:t>如遇</w:t>
      </w:r>
      <w:r>
        <w:rPr>
          <w:rFonts w:hint="eastAsia" w:ascii="仿宋_GB2312" w:hAnsi="仿宋_GB2312" w:eastAsia="仿宋_GB2312" w:cs="仿宋_GB2312"/>
          <w:sz w:val="32"/>
          <w:szCs w:val="32"/>
        </w:rPr>
        <w:t>特殊情况需延迟付款</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，须征得乙方书面同意。甲方未征得乙方书面同意延迟付款</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，每迟延一天</w:t>
      </w:r>
      <w:r>
        <w:rPr>
          <w:rFonts w:hint="eastAsia" w:ascii="仿宋_GB2312" w:hAnsi="仿宋_GB2312" w:eastAsia="仿宋_GB2312" w:cs="仿宋_GB2312"/>
          <w:sz w:val="32"/>
          <w:szCs w:val="32"/>
          <w:lang w:eastAsia="zh-Hans"/>
        </w:rPr>
        <w:t>需按</w:t>
      </w:r>
      <w:r>
        <w:rPr>
          <w:rFonts w:hint="eastAsia" w:ascii="仿宋_GB2312" w:hAnsi="仿宋_GB2312" w:eastAsia="仿宋_GB2312" w:cs="仿宋_GB2312"/>
          <w:sz w:val="32"/>
          <w:szCs w:val="32"/>
        </w:rPr>
        <w:t>逾期款项</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万分之三承担违约金。逾期超过</w:t>
      </w:r>
      <w:r>
        <w:rPr>
          <w:rFonts w:hint="eastAsia" w:ascii="仿宋_GB2312" w:hAnsi="仿宋_GB2312" w:eastAsia="仿宋_GB2312" w:cs="仿宋_GB2312"/>
          <w:sz w:val="32"/>
          <w:szCs w:val="32"/>
          <w:u w:val="single"/>
        </w:rPr>
        <w:t>七</w:t>
      </w:r>
      <w:r>
        <w:rPr>
          <w:rFonts w:hint="eastAsia" w:ascii="仿宋_GB2312" w:hAnsi="仿宋_GB2312" w:eastAsia="仿宋_GB2312" w:cs="仿宋_GB2312"/>
          <w:sz w:val="32"/>
          <w:szCs w:val="32"/>
        </w:rPr>
        <w:t>天</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，乙方有权</w:t>
      </w:r>
      <w:r>
        <w:rPr>
          <w:rFonts w:hint="eastAsia" w:ascii="仿宋_GB2312" w:hAnsi="仿宋_GB2312" w:eastAsia="仿宋_GB2312" w:cs="仿宋_GB2312"/>
          <w:sz w:val="32"/>
          <w:szCs w:val="32"/>
          <w:lang w:eastAsia="zh-Hans"/>
        </w:rPr>
        <w:t>单方</w:t>
      </w:r>
      <w:r>
        <w:rPr>
          <w:rFonts w:hint="eastAsia" w:ascii="仿宋_GB2312" w:hAnsi="仿宋_GB2312" w:eastAsia="仿宋_GB2312" w:cs="仿宋_GB2312"/>
          <w:sz w:val="32"/>
          <w:szCs w:val="32"/>
        </w:rPr>
        <w:t>解除</w:t>
      </w:r>
      <w:r>
        <w:rPr>
          <w:rFonts w:hint="eastAsia" w:ascii="仿宋_GB2312" w:hAnsi="仿宋_GB2312" w:eastAsia="仿宋_GB2312" w:cs="仿宋_GB2312"/>
          <w:sz w:val="32"/>
          <w:szCs w:val="32"/>
          <w:lang w:eastAsia="zh-Hans"/>
        </w:rPr>
        <w:t>本协议</w:t>
      </w:r>
      <w:r>
        <w:rPr>
          <w:rFonts w:hint="eastAsia" w:ascii="仿宋_GB2312" w:hAnsi="仿宋_GB2312" w:eastAsia="仿宋_GB2312" w:cs="仿宋_GB2312"/>
          <w:sz w:val="32"/>
          <w:szCs w:val="32"/>
        </w:rPr>
        <w:t>，造成乙方损失的，甲方应全额赔偿。</w:t>
      </w:r>
    </w:p>
    <w:p w14:paraId="1B3D51AC">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（五）乙方所提供的服务或服务成果质量不合格的，应及时在甲方要求期限内整改，整改不及时的，或整改后仍不合格、未通过甲方验收确认的，甲方可不予支付对应的服务成果款项，且乙方应按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总金额的10%向甲方支付违约金。</w:t>
      </w:r>
    </w:p>
    <w:p w14:paraId="1A72E35E">
      <w:pPr>
        <w:adjustRightInd w:val="0"/>
        <w:snapToGrid w:val="0"/>
        <w:spacing w:after="0" w:line="579"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（六）因甲方延迟交付乙方所需材料，导致乙方延期提交设计方案的，乙方不承担违约责任，且不影响甲方按期</w:t>
      </w:r>
      <w:r>
        <w:rPr>
          <w:rFonts w:hint="eastAsia" w:ascii="仿宋_GB2312" w:hAnsi="仿宋_GB2312" w:eastAsia="仿宋_GB2312" w:cs="仿宋_GB2312"/>
          <w:sz w:val="32"/>
          <w:szCs w:val="32"/>
          <w:lang w:eastAsia="zh-Hans"/>
        </w:rPr>
        <w:t>履行</w:t>
      </w:r>
      <w:r>
        <w:rPr>
          <w:rFonts w:hint="eastAsia" w:ascii="仿宋_GB2312" w:hAnsi="仿宋_GB2312" w:eastAsia="仿宋_GB2312" w:cs="仿宋_GB2312"/>
          <w:sz w:val="32"/>
          <w:szCs w:val="32"/>
        </w:rPr>
        <w:t>付款义务。</w:t>
      </w:r>
    </w:p>
    <w:p w14:paraId="4489433F">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（七）乙方不得将项目非法转包或未经甲方同意而分包给任何单位和个人，否则甲方有权即刻终止合同，要求乙方按</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总金额的20%向甲方支付违约金并赔偿相应损失。</w:t>
      </w:r>
    </w:p>
    <w:p w14:paraId="60E5A745">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（八）若乙方违反保密义务并给甲方造成负面影响的，应按本协议含税总额的10%向甲方支付违约金，并赔偿所造成的损失。</w:t>
      </w:r>
    </w:p>
    <w:p w14:paraId="654EE4AC">
      <w:p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七、不可抗力</w:t>
      </w:r>
    </w:p>
    <w:p w14:paraId="1EA775D3">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（一）“不可抗力</w:t>
      </w:r>
      <w:r>
        <w:rPr>
          <w:rFonts w:hint="eastAsia" w:ascii="仿宋_GB2312" w:hAnsi="仿宋_GB2312" w:eastAsia="仿宋_GB2312" w:cs="仿宋_GB2312"/>
          <w:sz w:val="32"/>
          <w:szCs w:val="32"/>
          <w:lang w:eastAsia="zh-Hans"/>
        </w:rPr>
        <w:t>事件”</w:t>
      </w:r>
      <w:r>
        <w:rPr>
          <w:rFonts w:hint="eastAsia" w:ascii="仿宋_GB2312" w:hAnsi="仿宋_GB2312" w:eastAsia="仿宋_GB2312" w:cs="仿宋_GB2312"/>
          <w:sz w:val="32"/>
          <w:szCs w:val="32"/>
        </w:rPr>
        <w:t xml:space="preserve">是本协议双方不能合理控制、不可预见或即使预见亦无法避免的事件，该事件妨碍、影响或延迟任何一方根据协议履行其全部或部分义务。该事件包括政府行为、自然灾害、战争或任何其他类似事件。 </w:t>
      </w:r>
    </w:p>
    <w:p w14:paraId="195FE33E">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（二）出现不可抗力事件时，知情方应在不可抗力发生之时起24小时内书面通知对方，并告知该类事件对本协议可能产生的影响，并应当在不可抗力发生之日起10日之内提供相关官方证明。</w:t>
      </w:r>
    </w:p>
    <w:p w14:paraId="0E9D6EDC">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（三）由于以上所述不可抗力事件致使协议不能履行或延迟履行</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，双方均</w:t>
      </w:r>
      <w:r>
        <w:rPr>
          <w:rFonts w:hint="eastAsia" w:ascii="仿宋_GB2312" w:hAnsi="仿宋_GB2312" w:eastAsia="仿宋_GB2312" w:cs="仿宋_GB2312"/>
          <w:sz w:val="32"/>
          <w:szCs w:val="32"/>
          <w:lang w:eastAsia="zh-Hans"/>
        </w:rPr>
        <w:t>无</w:t>
      </w:r>
      <w:r>
        <w:rPr>
          <w:rFonts w:hint="eastAsia" w:ascii="仿宋_GB2312" w:hAnsi="仿宋_GB2312" w:eastAsia="仿宋_GB2312" w:cs="仿宋_GB2312"/>
          <w:sz w:val="32"/>
          <w:szCs w:val="32"/>
        </w:rPr>
        <w:t>需承担任何违约责任。</w:t>
      </w:r>
    </w:p>
    <w:p w14:paraId="48B29D47">
      <w:pPr>
        <w:numPr>
          <w:ilvl w:val="255"/>
          <w:numId w:val="0"/>
        </w:numPr>
        <w:adjustRightInd w:val="0"/>
        <w:snapToGrid w:val="0"/>
        <w:spacing w:after="0" w:line="579"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八、保密义务</w:t>
      </w:r>
    </w:p>
    <w:p w14:paraId="07487ED8">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没有甲方事先书面同意，乙方不得将由甲方提供的有关协议或者任何协议条文、信息、数据或者资料提供给与履行本协议无关的任何其他人。即使向履行本协议有关的人员提供，也应注意保密并限于履行协议的必需范围。乙方的保密义务持续有效，不因本合同履行终止、解除或者无效而解除。</w:t>
      </w:r>
    </w:p>
    <w:p w14:paraId="0336D3FA">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（二）乙方承诺对甲方为履行本协议所提供的材料（包括来宾的一切个人资料）及其他商业秘密负有保密的义务，并采取合理的措施以使其所</w:t>
      </w:r>
      <w:r>
        <w:rPr>
          <w:rFonts w:hint="eastAsia" w:ascii="仿宋_GB2312" w:hAnsi="仿宋_GB2312" w:eastAsia="仿宋_GB2312" w:cs="仿宋_GB2312"/>
          <w:sz w:val="32"/>
          <w:szCs w:val="32"/>
          <w:lang w:eastAsia="zh-Hans"/>
        </w:rPr>
        <w:t>接收</w:t>
      </w:r>
      <w:r>
        <w:rPr>
          <w:rFonts w:hint="eastAsia" w:ascii="仿宋_GB2312" w:hAnsi="仿宋_GB2312" w:eastAsia="仿宋_GB2312" w:cs="仿宋_GB2312"/>
          <w:sz w:val="32"/>
          <w:szCs w:val="32"/>
        </w:rPr>
        <w:t>的材料免于散发、传播、披露、复制、滥用及被无关人员接触。</w:t>
      </w:r>
    </w:p>
    <w:p w14:paraId="696ED770">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（三）本条的保密义务不涉及如下信息和资料：</w:t>
      </w:r>
    </w:p>
    <w:p w14:paraId="5C4BD7AD">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1.非由于乙方的过错而公开的信息和材料；</w:t>
      </w:r>
    </w:p>
    <w:p w14:paraId="649DFF95">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2.乙方在无须承担保密义务的第三方</w:t>
      </w:r>
      <w:r>
        <w:rPr>
          <w:rFonts w:hint="eastAsia" w:ascii="仿宋_GB2312" w:hAnsi="仿宋_GB2312" w:eastAsia="仿宋_GB2312" w:cs="仿宋_GB2312"/>
          <w:sz w:val="32"/>
          <w:szCs w:val="32"/>
          <w:lang w:eastAsia="zh-Hans"/>
        </w:rPr>
        <w:t>处获取</w:t>
      </w:r>
      <w:r>
        <w:rPr>
          <w:rFonts w:hint="eastAsia" w:ascii="仿宋_GB2312" w:hAnsi="仿宋_GB2312" w:eastAsia="仿宋_GB2312" w:cs="仿宋_GB2312"/>
          <w:sz w:val="32"/>
          <w:szCs w:val="32"/>
        </w:rPr>
        <w:t>的信息，且该信息不属于甲方的上述保密信息。</w:t>
      </w:r>
    </w:p>
    <w:p w14:paraId="1C62DB03">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九、知识产权</w:t>
      </w:r>
    </w:p>
    <w:p w14:paraId="1778BA70">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（一）乙方应保证其所提供的服务</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包括但不限于宣传用品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活动用品</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不侵犯第三方的版权、专利权及商标权等知识产权。如因上述原因</w:t>
      </w:r>
      <w:r>
        <w:rPr>
          <w:rFonts w:hint="eastAsia" w:ascii="仿宋_GB2312" w:hAnsi="仿宋_GB2312" w:eastAsia="仿宋_GB2312" w:cs="仿宋_GB2312"/>
          <w:sz w:val="32"/>
          <w:szCs w:val="32"/>
          <w:lang w:eastAsia="zh-Hans"/>
        </w:rPr>
        <w:t>导致</w:t>
      </w:r>
      <w:r>
        <w:rPr>
          <w:rFonts w:hint="eastAsia" w:ascii="仿宋_GB2312" w:hAnsi="仿宋_GB2312" w:eastAsia="仿宋_GB2312" w:cs="仿宋_GB2312"/>
          <w:sz w:val="32"/>
          <w:szCs w:val="32"/>
        </w:rPr>
        <w:t>第三方向甲方提出侵权诉讼</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，乙方应负责交涉、解决。如因此给甲方造成损失，乙方</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赔偿甲方全部损失。</w:t>
      </w:r>
    </w:p>
    <w:p w14:paraId="0D9524F2">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（二）因乙方根据甲方要求或者</w:t>
      </w:r>
      <w:r>
        <w:rPr>
          <w:rFonts w:hint="eastAsia" w:ascii="仿宋_GB2312" w:hAnsi="仿宋_GB2312" w:eastAsia="仿宋_GB2312" w:cs="仿宋_GB2312"/>
          <w:sz w:val="32"/>
          <w:szCs w:val="32"/>
          <w:lang w:eastAsia="zh-Hans"/>
        </w:rPr>
        <w:t>甲方</w:t>
      </w:r>
      <w:r>
        <w:rPr>
          <w:rFonts w:hint="eastAsia" w:ascii="仿宋_GB2312" w:hAnsi="仿宋_GB2312" w:eastAsia="仿宋_GB2312" w:cs="仿宋_GB2312"/>
          <w:sz w:val="32"/>
          <w:szCs w:val="32"/>
        </w:rPr>
        <w:t>指定内容印制的宣传资料侵犯第三方知识产权的，由甲方承担相应的责任，与乙方无关。</w:t>
      </w:r>
    </w:p>
    <w:p w14:paraId="2DB70B9E">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十、争议或纠纷处理及送达</w:t>
      </w:r>
    </w:p>
    <w:p w14:paraId="62456C9C">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（一）因履行本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所发生的一切争议</w:t>
      </w:r>
      <w:r>
        <w:rPr>
          <w:rFonts w:hint="eastAsia" w:ascii="仿宋_GB2312" w:hAnsi="仿宋_GB2312" w:eastAsia="仿宋_GB2312" w:cs="仿宋_GB2312"/>
          <w:sz w:val="32"/>
          <w:szCs w:val="32"/>
          <w:lang w:eastAsia="zh-Hans"/>
        </w:rPr>
        <w:t>或</w:t>
      </w:r>
      <w:r>
        <w:rPr>
          <w:rFonts w:hint="eastAsia" w:ascii="仿宋_GB2312" w:hAnsi="仿宋_GB2312" w:eastAsia="仿宋_GB2312" w:cs="仿宋_GB2312"/>
          <w:sz w:val="32"/>
          <w:szCs w:val="32"/>
        </w:rPr>
        <w:t>与本</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相关的争议，双方应协商解决。协商不成的，任何一方可向甲方所在地有管辖权的人民法院提起诉讼</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因诉讼所产生的全部</w:t>
      </w:r>
      <w:r>
        <w:rPr>
          <w:rFonts w:hint="eastAsia" w:ascii="仿宋_GB2312" w:hAnsi="仿宋_GB2312" w:eastAsia="仿宋_GB2312" w:cs="仿宋_GB2312"/>
          <w:sz w:val="32"/>
          <w:szCs w:val="32"/>
          <w:lang w:eastAsia="zh-Hans"/>
        </w:rPr>
        <w:t>费用（</w:t>
      </w:r>
      <w:r>
        <w:rPr>
          <w:rFonts w:hint="eastAsia" w:ascii="仿宋_GB2312" w:hAnsi="仿宋_GB2312" w:eastAsia="仿宋_GB2312" w:cs="仿宋_GB2312"/>
          <w:sz w:val="32"/>
          <w:szCs w:val="32"/>
        </w:rPr>
        <w:t>包括但不限于诉讼费、律师费、评估费、鉴定费、公证费</w:t>
      </w:r>
      <w:r>
        <w:rPr>
          <w:rFonts w:hint="eastAsia" w:ascii="仿宋_GB2312" w:hAnsi="仿宋_GB2312" w:eastAsia="仿宋_GB2312" w:cs="仿宋_GB2312"/>
          <w:sz w:val="32"/>
          <w:szCs w:val="32"/>
          <w:lang w:eastAsia="zh-Hans"/>
        </w:rPr>
        <w:t>、保全保险费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Hans"/>
        </w:rPr>
        <w:t>）由</w:t>
      </w:r>
      <w:r>
        <w:rPr>
          <w:rFonts w:hint="eastAsia" w:ascii="仿宋_GB2312" w:hAnsi="仿宋_GB2312" w:eastAsia="仿宋_GB2312" w:cs="仿宋_GB2312"/>
          <w:sz w:val="32"/>
          <w:szCs w:val="32"/>
        </w:rPr>
        <w:t>败诉方承担。</w:t>
      </w:r>
    </w:p>
    <w:p w14:paraId="1C649010">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（二）甲乙双方在</w:t>
      </w:r>
      <w:r>
        <w:rPr>
          <w:rFonts w:hint="eastAsia" w:ascii="仿宋_GB2312" w:hAnsi="仿宋_GB2312" w:eastAsia="仿宋_GB2312" w:cs="仿宋_GB2312"/>
          <w:sz w:val="32"/>
          <w:szCs w:val="32"/>
          <w:lang w:eastAsia="zh-Hans"/>
        </w:rPr>
        <w:t>本</w:t>
      </w:r>
      <w:r>
        <w:rPr>
          <w:rFonts w:hint="eastAsia" w:ascii="仿宋_GB2312" w:hAnsi="仿宋_GB2312" w:eastAsia="仿宋_GB2312" w:cs="仿宋_GB2312"/>
          <w:sz w:val="32"/>
          <w:szCs w:val="32"/>
        </w:rPr>
        <w:t>协议中载明的联系地址、联系电话和联系人为</w:t>
      </w:r>
      <w:r>
        <w:rPr>
          <w:rFonts w:hint="eastAsia" w:ascii="仿宋_GB2312" w:hAnsi="仿宋_GB2312" w:eastAsia="仿宋_GB2312" w:cs="仿宋_GB2312"/>
          <w:sz w:val="32"/>
          <w:szCs w:val="32"/>
          <w:lang w:eastAsia="zh-Hans"/>
        </w:rPr>
        <w:t>该方认可的联系方式</w:t>
      </w:r>
      <w:r>
        <w:rPr>
          <w:rFonts w:hint="eastAsia" w:ascii="仿宋_GB2312" w:hAnsi="仿宋_GB2312" w:eastAsia="仿宋_GB2312" w:cs="仿宋_GB2312"/>
          <w:sz w:val="32"/>
          <w:szCs w:val="32"/>
        </w:rPr>
        <w:t>，任何一方</w:t>
      </w:r>
      <w:r>
        <w:rPr>
          <w:rFonts w:hint="eastAsia" w:ascii="仿宋_GB2312" w:hAnsi="仿宋_GB2312" w:eastAsia="仿宋_GB2312" w:cs="仿宋_GB2312"/>
          <w:sz w:val="32"/>
          <w:szCs w:val="32"/>
          <w:lang w:eastAsia="zh-Hans"/>
        </w:rPr>
        <w:t>需</w:t>
      </w:r>
      <w:r>
        <w:rPr>
          <w:rFonts w:hint="eastAsia" w:ascii="仿宋_GB2312" w:hAnsi="仿宋_GB2312" w:eastAsia="仿宋_GB2312" w:cs="仿宋_GB2312"/>
          <w:sz w:val="32"/>
          <w:szCs w:val="32"/>
        </w:rPr>
        <w:t>变更的，应在变更之日起2个工作日内以书面形式通知</w:t>
      </w:r>
      <w:r>
        <w:rPr>
          <w:rFonts w:hint="eastAsia" w:ascii="仿宋_GB2312" w:hAnsi="仿宋_GB2312" w:eastAsia="仿宋_GB2312" w:cs="仿宋_GB2312"/>
          <w:sz w:val="32"/>
          <w:szCs w:val="32"/>
          <w:lang w:eastAsia="zh-Hans"/>
        </w:rPr>
        <w:t>对</w:t>
      </w:r>
      <w:r>
        <w:rPr>
          <w:rFonts w:hint="eastAsia" w:ascii="仿宋_GB2312" w:hAnsi="仿宋_GB2312" w:eastAsia="仿宋_GB2312" w:cs="仿宋_GB2312"/>
          <w:sz w:val="32"/>
          <w:szCs w:val="32"/>
        </w:rPr>
        <w:t>方，否则变更方应承担通知无法送达的责任。一方按上述地址寄出的通知与书面材料，在收到邮件时即视为对方实际收到</w:t>
      </w:r>
      <w:r>
        <w:rPr>
          <w:rFonts w:hint="eastAsia" w:ascii="仿宋_GB2312" w:hAnsi="仿宋_GB2312" w:eastAsia="仿宋_GB2312" w:cs="仿宋_GB2312"/>
          <w:sz w:val="32"/>
          <w:szCs w:val="32"/>
          <w:lang w:eastAsia="zh-Hans"/>
        </w:rPr>
        <w:t>之</w:t>
      </w:r>
      <w:r>
        <w:rPr>
          <w:rFonts w:hint="eastAsia" w:ascii="仿宋_GB2312" w:hAnsi="仿宋_GB2312" w:eastAsia="仿宋_GB2312" w:cs="仿宋_GB2312"/>
          <w:sz w:val="32"/>
          <w:szCs w:val="32"/>
        </w:rPr>
        <w:t>时。如因地址不正确或者对方拒收等原因</w:t>
      </w:r>
      <w:r>
        <w:rPr>
          <w:rFonts w:hint="eastAsia" w:ascii="仿宋_GB2312" w:hAnsi="仿宋_GB2312" w:eastAsia="仿宋_GB2312" w:cs="仿宋_GB2312"/>
          <w:sz w:val="32"/>
          <w:szCs w:val="32"/>
          <w:lang w:eastAsia="zh-Hans"/>
        </w:rPr>
        <w:t>导致</w:t>
      </w:r>
      <w:r>
        <w:rPr>
          <w:rFonts w:hint="eastAsia" w:ascii="仿宋_GB2312" w:hAnsi="仿宋_GB2312" w:eastAsia="仿宋_GB2312" w:cs="仿宋_GB2312"/>
          <w:sz w:val="32"/>
          <w:szCs w:val="32"/>
        </w:rPr>
        <w:t>被退回的，则退回之日视为送达之日。本协议载明的双方的联系地址、联系电话和联系人同时作为人民法院相关法律文书的有效送达地址。</w:t>
      </w:r>
    </w:p>
    <w:p w14:paraId="58F78529">
      <w:pPr>
        <w:adjustRightInd w:val="0"/>
        <w:snapToGrid w:val="0"/>
        <w:spacing w:after="0" w:line="579" w:lineRule="exact"/>
        <w:ind w:firstLine="643" w:firstLineChars="2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甲方联系方式：</w:t>
      </w:r>
    </w:p>
    <w:p w14:paraId="2ABC5D72">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联系人：</w:t>
      </w:r>
    </w:p>
    <w:p w14:paraId="1759B94E">
      <w:pPr>
        <w:spacing w:after="0" w:line="579" w:lineRule="exact"/>
        <w:ind w:firstLine="630" w:firstLineChars="197"/>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联系地址：南宁市良庆区体强路18号</w:t>
      </w:r>
    </w:p>
    <w:p w14:paraId="6826A579">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联系电话：</w:t>
      </w:r>
    </w:p>
    <w:p w14:paraId="2DA6FF61">
      <w:pPr>
        <w:adjustRightInd w:val="0"/>
        <w:snapToGrid w:val="0"/>
        <w:spacing w:after="0" w:line="579" w:lineRule="exact"/>
        <w:ind w:firstLine="643" w:firstLineChars="2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乙方联系方式：</w:t>
      </w:r>
    </w:p>
    <w:p w14:paraId="7A9FFFB5">
      <w:pPr>
        <w:adjustRightInd w:val="0"/>
        <w:snapToGrid w:val="0"/>
        <w:spacing w:after="0" w:line="579"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联系人：</w:t>
      </w:r>
    </w:p>
    <w:p w14:paraId="6721A9EE">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联系地址：</w:t>
      </w:r>
      <w:r>
        <w:rPr>
          <w:rFonts w:hint="eastAsia" w:ascii="仿宋_GB2312" w:hAnsi="仿宋_GB2312" w:eastAsia="仿宋_GB2312" w:cs="仿宋_GB2312"/>
          <w:sz w:val="32"/>
          <w:szCs w:val="32"/>
        </w:rPr>
        <w:t xml:space="preserve"> </w:t>
      </w:r>
    </w:p>
    <w:p w14:paraId="1180EDF3">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联系电话：</w:t>
      </w:r>
    </w:p>
    <w:p w14:paraId="1A3538A1">
      <w:pPr>
        <w:numPr>
          <w:ilvl w:val="255"/>
          <w:numId w:val="0"/>
        </w:numPr>
        <w:adjustRightInd w:val="0"/>
        <w:snapToGrid w:val="0"/>
        <w:spacing w:after="0" w:line="579"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十一、其他事项</w:t>
      </w:r>
    </w:p>
    <w:p w14:paraId="06CA388E">
      <w:pPr>
        <w:adjustRightInd w:val="0"/>
        <w:snapToGrid w:val="0"/>
        <w:spacing w:after="0" w:line="579"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hint="eastAsia" w:ascii="仿宋_GB2312" w:hAnsi="仿宋_GB2312" w:eastAsia="仿宋_GB2312" w:cs="仿宋_GB2312"/>
          <w:sz w:val="32"/>
          <w:szCs w:val="32"/>
        </w:rPr>
        <w:t>）本协议一式陆份，甲方执叁份，乙方执叁份。自双方签约代表签字并</w:t>
      </w:r>
      <w:r>
        <w:rPr>
          <w:rFonts w:hint="eastAsia" w:ascii="仿宋_GB2312" w:hAnsi="仿宋_GB2312" w:eastAsia="仿宋_GB2312" w:cs="仿宋_GB2312"/>
          <w:sz w:val="32"/>
          <w:szCs w:val="32"/>
          <w:lang w:val="en-US" w:eastAsia="zh-CN"/>
        </w:rPr>
        <w:t>加</w:t>
      </w:r>
      <w:r>
        <w:rPr>
          <w:rFonts w:hint="eastAsia" w:ascii="仿宋_GB2312" w:hAnsi="仿宋_GB2312" w:eastAsia="仿宋_GB2312" w:cs="仿宋_GB2312"/>
          <w:sz w:val="32"/>
          <w:szCs w:val="32"/>
        </w:rPr>
        <w:t>盖单位公章之日起生效，</w:t>
      </w:r>
      <w:r>
        <w:rPr>
          <w:rFonts w:hint="eastAsia" w:ascii="仿宋_GB2312" w:hAnsi="仿宋_GB2312" w:eastAsia="仿宋_GB2312" w:cs="仿宋_GB2312"/>
          <w:sz w:val="32"/>
          <w:szCs w:val="32"/>
          <w:lang w:eastAsia="zh-Hans"/>
        </w:rPr>
        <w:t>具有同等</w:t>
      </w:r>
      <w:r>
        <w:rPr>
          <w:rFonts w:hint="eastAsia" w:ascii="仿宋_GB2312" w:hAnsi="仿宋_GB2312" w:eastAsia="仿宋_GB2312" w:cs="仿宋_GB2312"/>
          <w:sz w:val="32"/>
          <w:szCs w:val="32"/>
        </w:rPr>
        <w:t>法律效力</w:t>
      </w:r>
      <w:r>
        <w:rPr>
          <w:rFonts w:hint="eastAsia" w:ascii="仿宋_GB2312" w:hAnsi="仿宋_GB2312" w:eastAsia="仿宋_GB2312" w:cs="仿宋_GB2312"/>
          <w:sz w:val="32"/>
          <w:szCs w:val="32"/>
          <w:lang w:eastAsia="zh-Hans"/>
        </w:rPr>
        <w:t>。</w:t>
      </w:r>
    </w:p>
    <w:p w14:paraId="16E85EAE">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二</w:t>
      </w:r>
      <w:r>
        <w:rPr>
          <w:rFonts w:hint="eastAsia" w:ascii="仿宋_GB2312" w:hAnsi="仿宋_GB2312" w:eastAsia="仿宋_GB2312" w:cs="仿宋_GB2312"/>
          <w:sz w:val="32"/>
          <w:szCs w:val="32"/>
        </w:rPr>
        <w:t>）经甲方确认的方案和其他附件作为本协议的有效组成部分。</w:t>
      </w:r>
    </w:p>
    <w:p w14:paraId="6B84EA70">
      <w:pPr>
        <w:adjustRightInd w:val="0"/>
        <w:snapToGrid w:val="0"/>
        <w:spacing w:after="0"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（三）</w:t>
      </w:r>
      <w:r>
        <w:rPr>
          <w:rFonts w:hint="eastAsia" w:ascii="仿宋_GB2312" w:hAnsi="仿宋_GB2312" w:eastAsia="仿宋_GB2312" w:cs="仿宋_GB2312"/>
          <w:sz w:val="32"/>
          <w:szCs w:val="32"/>
        </w:rPr>
        <w:t>协议履行过程中出现争议</w:t>
      </w:r>
      <w:r>
        <w:rPr>
          <w:rFonts w:hint="eastAsia" w:ascii="仿宋_GB2312" w:hAnsi="仿宋_GB2312" w:eastAsia="仿宋_GB2312" w:cs="仿宋_GB2312"/>
          <w:sz w:val="32"/>
          <w:szCs w:val="32"/>
          <w:lang w:eastAsia="zh-Hans"/>
        </w:rPr>
        <w:t>及</w:t>
      </w:r>
      <w:r>
        <w:rPr>
          <w:rFonts w:hint="eastAsia" w:ascii="仿宋_GB2312" w:hAnsi="仿宋_GB2312" w:eastAsia="仿宋_GB2312" w:cs="仿宋_GB2312"/>
          <w:sz w:val="32"/>
          <w:szCs w:val="32"/>
        </w:rPr>
        <w:t>未尽事宜，双方可另行协商</w:t>
      </w:r>
      <w:r>
        <w:rPr>
          <w:rFonts w:hint="eastAsia" w:ascii="仿宋_GB2312" w:hAnsi="仿宋_GB2312" w:eastAsia="仿宋_GB2312" w:cs="仿宋_GB2312"/>
          <w:sz w:val="32"/>
          <w:szCs w:val="32"/>
          <w:lang w:eastAsia="zh-Hans"/>
        </w:rPr>
        <w:t>并</w:t>
      </w:r>
      <w:r>
        <w:rPr>
          <w:rFonts w:hint="eastAsia" w:ascii="仿宋_GB2312" w:hAnsi="仿宋_GB2312" w:eastAsia="仿宋_GB2312" w:cs="仿宋_GB2312"/>
          <w:sz w:val="32"/>
          <w:szCs w:val="32"/>
        </w:rPr>
        <w:t>签订补充协议，补充协议作为本协议不可分割部分。</w:t>
      </w:r>
    </w:p>
    <w:tbl>
      <w:tblPr>
        <w:tblStyle w:val="10"/>
        <w:tblW w:w="5000" w:type="pct"/>
        <w:tblInd w:w="0" w:type="dxa"/>
        <w:tblLayout w:type="autofit"/>
        <w:tblCellMar>
          <w:top w:w="0" w:type="dxa"/>
          <w:left w:w="108" w:type="dxa"/>
          <w:bottom w:w="0" w:type="dxa"/>
          <w:right w:w="108" w:type="dxa"/>
        </w:tblCellMar>
      </w:tblPr>
      <w:tblGrid>
        <w:gridCol w:w="3838"/>
        <w:gridCol w:w="4684"/>
      </w:tblGrid>
      <w:tr w14:paraId="29BB5577">
        <w:tblPrEx>
          <w:tblCellMar>
            <w:top w:w="0" w:type="dxa"/>
            <w:left w:w="108" w:type="dxa"/>
            <w:bottom w:w="0" w:type="dxa"/>
            <w:right w:w="108" w:type="dxa"/>
          </w:tblCellMar>
        </w:tblPrEx>
        <w:trPr>
          <w:trHeight w:val="3367" w:hRule="atLeast"/>
        </w:trPr>
        <w:tc>
          <w:tcPr>
            <w:tcW w:w="2094" w:type="pct"/>
          </w:tcPr>
          <w:p w14:paraId="6522B17D">
            <w:pPr>
              <w:adjustRightInd w:val="0"/>
              <w:snapToGrid w:val="0"/>
              <w:spacing w:after="0" w:line="560" w:lineRule="exac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甲方（</w:t>
            </w:r>
            <w:r>
              <w:rPr>
                <w:rFonts w:hint="eastAsia" w:ascii="仿宋_GB2312" w:hAnsi="仿宋_GB2312" w:eastAsia="仿宋_GB2312" w:cs="仿宋_GB2312"/>
                <w:b/>
                <w:bCs/>
                <w:sz w:val="32"/>
                <w:szCs w:val="32"/>
              </w:rPr>
              <w:t>盖</w:t>
            </w:r>
            <w:r>
              <w:rPr>
                <w:rFonts w:hint="eastAsia" w:ascii="仿宋_GB2312" w:hAnsi="仿宋_GB2312" w:eastAsia="仿宋_GB2312" w:cs="仿宋_GB2312"/>
                <w:b/>
                <w:bCs/>
                <w:sz w:val="32"/>
                <w:szCs w:val="32"/>
                <w:lang w:eastAsia="zh-Hans"/>
              </w:rPr>
              <w:t>章）：</w:t>
            </w:r>
          </w:p>
          <w:p w14:paraId="7EFFEA57">
            <w:pPr>
              <w:pStyle w:val="2"/>
              <w:spacing w:after="0" w:line="560" w:lineRule="exact"/>
              <w:rPr>
                <w:rFonts w:hint="eastAsia" w:ascii="仿宋_GB2312" w:hAnsi="仿宋_GB2312" w:eastAsia="仿宋_GB2312" w:cs="仿宋_GB2312"/>
                <w:sz w:val="32"/>
                <w:szCs w:val="32"/>
              </w:rPr>
            </w:pPr>
          </w:p>
          <w:p w14:paraId="3ACDF4F5">
            <w:pPr>
              <w:adjustRightInd w:val="0"/>
              <w:snapToGrid w:val="0"/>
              <w:spacing w:after="0" w:line="560" w:lineRule="exact"/>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签约代表（签</w:t>
            </w:r>
            <w:r>
              <w:rPr>
                <w:rFonts w:hint="eastAsia" w:ascii="仿宋_GB2312" w:hAnsi="仿宋_GB2312" w:eastAsia="仿宋_GB2312" w:cs="仿宋_GB2312"/>
                <w:b/>
                <w:bCs/>
                <w:sz w:val="32"/>
                <w:szCs w:val="32"/>
              </w:rPr>
              <w:t>字</w:t>
            </w:r>
            <w:r>
              <w:rPr>
                <w:rFonts w:hint="eastAsia" w:ascii="仿宋_GB2312" w:hAnsi="仿宋_GB2312" w:eastAsia="仿宋_GB2312" w:cs="仿宋_GB2312"/>
                <w:b/>
                <w:bCs/>
                <w:sz w:val="32"/>
                <w:szCs w:val="32"/>
                <w:lang w:eastAsia="zh-Hans"/>
              </w:rPr>
              <w:t>）：</w:t>
            </w:r>
          </w:p>
          <w:p w14:paraId="0A3B1D78">
            <w:pPr>
              <w:spacing w:after="0" w:line="560" w:lineRule="exact"/>
              <w:rPr>
                <w:rFonts w:hint="eastAsia" w:ascii="仿宋_GB2312" w:hAnsi="仿宋_GB2312" w:eastAsia="仿宋_GB2312" w:cs="仿宋_GB2312"/>
                <w:sz w:val="32"/>
                <w:szCs w:val="32"/>
                <w:lang w:eastAsia="zh-Hans"/>
              </w:rPr>
            </w:pPr>
          </w:p>
          <w:p w14:paraId="18E63C7E">
            <w:pPr>
              <w:pStyle w:val="2"/>
              <w:spacing w:after="0" w:line="560" w:lineRule="exact"/>
              <w:rPr>
                <w:rFonts w:hint="eastAsia" w:ascii="仿宋_GB2312" w:hAnsi="仿宋_GB2312" w:eastAsia="仿宋_GB2312" w:cs="仿宋_GB2312"/>
                <w:sz w:val="32"/>
                <w:szCs w:val="32"/>
                <w:lang w:eastAsia="zh-Hans"/>
              </w:rPr>
            </w:pPr>
          </w:p>
          <w:p w14:paraId="53AB7494">
            <w:pPr>
              <w:adjustRightInd w:val="0"/>
              <w:snapToGrid w:val="0"/>
              <w:spacing w:after="0"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月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日</w:t>
            </w:r>
          </w:p>
        </w:tc>
        <w:tc>
          <w:tcPr>
            <w:tcW w:w="2554" w:type="pct"/>
          </w:tcPr>
          <w:p w14:paraId="73A4448E">
            <w:pPr>
              <w:adjustRightInd w:val="0"/>
              <w:snapToGrid w:val="0"/>
              <w:spacing w:after="0" w:line="560" w:lineRule="exact"/>
              <w:ind w:firstLine="321" w:firstLineChars="100"/>
              <w:rPr>
                <w:rFonts w:hint="eastAsia" w:ascii="仿宋_GB2312" w:hAnsi="仿宋_GB2312" w:eastAsia="仿宋_GB2312" w:cs="仿宋_GB2312"/>
                <w:b/>
                <w:bCs/>
                <w:sz w:val="32"/>
                <w:szCs w:val="32"/>
                <w:lang w:eastAsia="zh-Hans"/>
              </w:rPr>
            </w:pPr>
            <w:r>
              <w:rPr>
                <w:rFonts w:hint="eastAsia" w:ascii="仿宋_GB2312" w:hAnsi="仿宋_GB2312" w:eastAsia="仿宋_GB2312" w:cs="仿宋_GB2312"/>
                <w:b/>
                <w:bCs/>
                <w:sz w:val="32"/>
                <w:szCs w:val="32"/>
                <w:lang w:eastAsia="zh-Hans"/>
              </w:rPr>
              <w:t>乙方（</w:t>
            </w:r>
            <w:r>
              <w:rPr>
                <w:rFonts w:hint="eastAsia" w:ascii="仿宋_GB2312" w:hAnsi="仿宋_GB2312" w:eastAsia="仿宋_GB2312" w:cs="仿宋_GB2312"/>
                <w:b/>
                <w:bCs/>
                <w:sz w:val="32"/>
                <w:szCs w:val="32"/>
              </w:rPr>
              <w:t>盖</w:t>
            </w:r>
            <w:r>
              <w:rPr>
                <w:rFonts w:hint="eastAsia" w:ascii="仿宋_GB2312" w:hAnsi="仿宋_GB2312" w:eastAsia="仿宋_GB2312" w:cs="仿宋_GB2312"/>
                <w:b/>
                <w:bCs/>
                <w:sz w:val="32"/>
                <w:szCs w:val="32"/>
                <w:lang w:eastAsia="zh-Hans"/>
              </w:rPr>
              <w:t>章）：</w:t>
            </w:r>
          </w:p>
          <w:p w14:paraId="7FE6DFE9">
            <w:pPr>
              <w:pStyle w:val="2"/>
              <w:spacing w:after="0" w:line="560" w:lineRule="exact"/>
              <w:rPr>
                <w:rFonts w:hint="eastAsia" w:ascii="仿宋_GB2312" w:hAnsi="仿宋_GB2312" w:eastAsia="仿宋_GB2312" w:cs="仿宋_GB2312"/>
                <w:sz w:val="32"/>
                <w:szCs w:val="32"/>
              </w:rPr>
            </w:pPr>
          </w:p>
          <w:p w14:paraId="5728F63D">
            <w:pPr>
              <w:adjustRightInd w:val="0"/>
              <w:snapToGrid w:val="0"/>
              <w:spacing w:after="0" w:line="560" w:lineRule="exact"/>
              <w:ind w:firstLine="321" w:firstLineChars="1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Hans"/>
              </w:rPr>
              <w:t>签约代表（签</w:t>
            </w:r>
            <w:r>
              <w:rPr>
                <w:rFonts w:hint="eastAsia" w:ascii="仿宋_GB2312" w:hAnsi="仿宋_GB2312" w:eastAsia="仿宋_GB2312" w:cs="仿宋_GB2312"/>
                <w:b/>
                <w:bCs/>
                <w:sz w:val="32"/>
                <w:szCs w:val="32"/>
              </w:rPr>
              <w:t>字</w:t>
            </w:r>
            <w:r>
              <w:rPr>
                <w:rFonts w:hint="eastAsia" w:ascii="仿宋_GB2312" w:hAnsi="仿宋_GB2312" w:eastAsia="仿宋_GB2312" w:cs="仿宋_GB2312"/>
                <w:b/>
                <w:bCs/>
                <w:sz w:val="32"/>
                <w:szCs w:val="32"/>
                <w:lang w:eastAsia="zh-Hans"/>
              </w:rPr>
              <w:t>）：</w:t>
            </w:r>
          </w:p>
          <w:p w14:paraId="597B6118">
            <w:pPr>
              <w:pStyle w:val="2"/>
              <w:spacing w:after="0" w:line="560" w:lineRule="exact"/>
              <w:rPr>
                <w:rFonts w:hint="eastAsia" w:ascii="仿宋_GB2312" w:hAnsi="仿宋_GB2312" w:eastAsia="仿宋_GB2312" w:cs="仿宋_GB2312"/>
                <w:sz w:val="32"/>
                <w:szCs w:val="32"/>
                <w:lang w:eastAsia="zh-Hans"/>
              </w:rPr>
            </w:pPr>
          </w:p>
          <w:p w14:paraId="6D48B4E0">
            <w:pPr>
              <w:spacing w:after="0" w:line="560" w:lineRule="exact"/>
              <w:rPr>
                <w:rFonts w:hint="eastAsia" w:ascii="仿宋_GB2312" w:hAnsi="仿宋_GB2312" w:eastAsia="仿宋_GB2312" w:cs="仿宋_GB2312"/>
                <w:sz w:val="32"/>
                <w:szCs w:val="32"/>
                <w:lang w:eastAsia="zh-Hans"/>
              </w:rPr>
            </w:pPr>
          </w:p>
          <w:p w14:paraId="194FE971">
            <w:pPr>
              <w:adjustRightInd w:val="0"/>
              <w:snapToGrid w:val="0"/>
              <w:spacing w:after="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 xml:space="preserve">年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 月</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Hans"/>
              </w:rPr>
              <w:t xml:space="preserve"> 日</w:t>
            </w:r>
          </w:p>
        </w:tc>
      </w:tr>
      <w:tr w14:paraId="246E5EF4">
        <w:tblPrEx>
          <w:tblCellMar>
            <w:top w:w="0" w:type="dxa"/>
            <w:left w:w="108" w:type="dxa"/>
            <w:bottom w:w="0" w:type="dxa"/>
            <w:right w:w="108" w:type="dxa"/>
          </w:tblCellMar>
        </w:tblPrEx>
        <w:trPr>
          <w:trHeight w:val="527" w:hRule="atLeast"/>
        </w:trPr>
        <w:tc>
          <w:tcPr>
            <w:tcW w:w="4649" w:type="pct"/>
            <w:gridSpan w:val="2"/>
          </w:tcPr>
          <w:p w14:paraId="12CA7FAA">
            <w:pPr>
              <w:adjustRightInd w:val="0"/>
              <w:snapToGrid w:val="0"/>
              <w:spacing w:after="0"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7D905088">
            <w:pPr>
              <w:adjustRightInd w:val="0"/>
              <w:snapToGrid w:val="0"/>
              <w:spacing w:after="0" w:line="560" w:lineRule="exact"/>
              <w:rPr>
                <w:rFonts w:hint="eastAsia" w:ascii="仿宋_GB2312" w:hAnsi="仿宋_GB2312" w:eastAsia="仿宋_GB2312" w:cs="仿宋_GB2312"/>
                <w:color w:val="000000" w:themeColor="text1"/>
                <w:sz w:val="32"/>
                <w:szCs w:val="32"/>
                <w14:textFill>
                  <w14:solidFill>
                    <w14:schemeClr w14:val="tx1"/>
                  </w14:solidFill>
                </w14:textFill>
              </w:rPr>
            </w:pPr>
          </w:p>
        </w:tc>
      </w:tr>
    </w:tbl>
    <w:p w14:paraId="393D7FB2">
      <w:pPr>
        <w:spacing w:after="0" w:line="560" w:lineRule="exact"/>
        <w:ind w:firstLine="640" w:firstLineChars="200"/>
        <w:rPr>
          <w:rFonts w:eastAsia="仿宋_GB2312" w:cs="Times New Roman"/>
          <w:kern w:val="0"/>
          <w:sz w:val="32"/>
          <w:szCs w:val="32"/>
        </w:rPr>
      </w:pPr>
    </w:p>
    <w:p w14:paraId="1F28D83C">
      <w:pPr>
        <w:spacing w:after="0" w:line="579" w:lineRule="exact"/>
        <w:ind w:firstLine="0" w:firstLineChars="0"/>
        <w:rPr>
          <w:rFonts w:eastAsia="仿宋_GB2312" w:cs="Times New Roman"/>
          <w:kern w:val="0"/>
          <w:sz w:val="32"/>
          <w:szCs w:val="32"/>
        </w:rPr>
      </w:pPr>
    </w:p>
    <w:p w14:paraId="27FAA04C">
      <w:pPr>
        <w:spacing w:after="0" w:line="579" w:lineRule="exact"/>
        <w:ind w:firstLine="640" w:firstLineChars="200"/>
        <w:rPr>
          <w:rFonts w:eastAsia="仿宋_GB2312" w:cs="Times New Roman"/>
          <w:kern w:val="0"/>
          <w:sz w:val="32"/>
          <w:szCs w:val="32"/>
        </w:rPr>
      </w:pPr>
    </w:p>
    <w:p w14:paraId="55E22D78">
      <w:pPr>
        <w:spacing w:after="0" w:line="579" w:lineRule="exact"/>
        <w:ind w:firstLine="640" w:firstLineChars="200"/>
        <w:rPr>
          <w:rFonts w:eastAsia="仿宋_GB2312" w:cs="Times New Roman"/>
          <w:kern w:val="0"/>
          <w:sz w:val="32"/>
          <w:szCs w:val="32"/>
        </w:rPr>
      </w:pPr>
    </w:p>
    <w:p w14:paraId="60F732A1">
      <w:pPr>
        <w:spacing w:after="0" w:line="579" w:lineRule="exact"/>
        <w:ind w:firstLine="640" w:firstLineChars="200"/>
        <w:rPr>
          <w:rFonts w:eastAsia="仿宋_GB2312" w:cs="Times New Roman"/>
          <w:kern w:val="0"/>
          <w:sz w:val="32"/>
          <w:szCs w:val="32"/>
        </w:rPr>
      </w:pPr>
    </w:p>
    <w:p w14:paraId="065E22C2">
      <w:pPr>
        <w:spacing w:after="0" w:line="579" w:lineRule="exact"/>
        <w:ind w:firstLine="640" w:firstLineChars="200"/>
        <w:rPr>
          <w:rFonts w:eastAsia="仿宋_GB2312" w:cs="Times New Roman"/>
          <w:kern w:val="0"/>
          <w:sz w:val="32"/>
          <w:szCs w:val="32"/>
        </w:rPr>
      </w:pPr>
    </w:p>
    <w:p w14:paraId="64681EE7">
      <w:pPr>
        <w:spacing w:after="0" w:line="579" w:lineRule="exact"/>
        <w:ind w:firstLine="640" w:firstLineChars="200"/>
        <w:rPr>
          <w:rFonts w:eastAsia="仿宋_GB2312" w:cs="Times New Roman"/>
          <w:kern w:val="0"/>
          <w:sz w:val="32"/>
          <w:szCs w:val="32"/>
        </w:rPr>
      </w:pPr>
    </w:p>
    <w:p w14:paraId="09766720">
      <w:pPr>
        <w:spacing w:after="0" w:line="579" w:lineRule="exact"/>
        <w:ind w:firstLine="640" w:firstLineChars="200"/>
        <w:rPr>
          <w:rFonts w:eastAsia="仿宋_GB2312" w:cs="Times New Roman"/>
          <w:kern w:val="0"/>
          <w:sz w:val="32"/>
          <w:szCs w:val="32"/>
        </w:rPr>
      </w:pPr>
    </w:p>
    <w:p w14:paraId="1E5EFCFC">
      <w:pPr>
        <w:spacing w:after="0" w:line="579" w:lineRule="exact"/>
        <w:ind w:firstLine="640" w:firstLineChars="200"/>
        <w:rPr>
          <w:rFonts w:eastAsia="仿宋_GB2312" w:cs="Times New Roman"/>
          <w:kern w:val="0"/>
          <w:sz w:val="32"/>
          <w:szCs w:val="32"/>
        </w:rPr>
      </w:pPr>
    </w:p>
    <w:p w14:paraId="3D1C1887">
      <w:pPr>
        <w:spacing w:after="0" w:line="579" w:lineRule="exact"/>
        <w:ind w:firstLine="640" w:firstLineChars="200"/>
        <w:rPr>
          <w:rFonts w:eastAsia="仿宋_GB2312" w:cs="Times New Roman"/>
          <w:kern w:val="0"/>
          <w:sz w:val="32"/>
          <w:szCs w:val="32"/>
        </w:rPr>
      </w:pPr>
    </w:p>
    <w:p w14:paraId="79E5C9BB">
      <w:pPr>
        <w:spacing w:after="0" w:line="579" w:lineRule="exact"/>
        <w:ind w:firstLine="640" w:firstLineChars="200"/>
        <w:rPr>
          <w:rFonts w:eastAsia="仿宋_GB2312" w:cs="Times New Roman"/>
          <w:kern w:val="0"/>
          <w:sz w:val="32"/>
          <w:szCs w:val="32"/>
        </w:rPr>
      </w:pPr>
    </w:p>
    <w:p w14:paraId="7F791134">
      <w:pPr>
        <w:spacing w:after="0" w:line="579" w:lineRule="exact"/>
        <w:ind w:firstLine="640" w:firstLineChars="200"/>
        <w:rPr>
          <w:rFonts w:eastAsia="仿宋_GB2312" w:cs="Times New Roman"/>
          <w:kern w:val="0"/>
          <w:sz w:val="32"/>
          <w:szCs w:val="32"/>
        </w:rPr>
      </w:pPr>
    </w:p>
    <w:p w14:paraId="6295E4E9">
      <w:pPr>
        <w:spacing w:after="0" w:line="579" w:lineRule="exact"/>
        <w:ind w:firstLine="640" w:firstLineChars="200"/>
        <w:rPr>
          <w:rFonts w:eastAsia="仿宋_GB2312" w:cs="Times New Roman"/>
          <w:kern w:val="0"/>
          <w:sz w:val="32"/>
          <w:szCs w:val="32"/>
        </w:rPr>
      </w:pPr>
    </w:p>
    <w:p w14:paraId="2B7BA393">
      <w:pPr>
        <w:spacing w:after="0" w:line="579" w:lineRule="exact"/>
        <w:ind w:firstLine="640" w:firstLineChars="200"/>
        <w:rPr>
          <w:rFonts w:eastAsia="仿宋_GB2312" w:cs="Times New Roman"/>
          <w:kern w:val="0"/>
          <w:sz w:val="32"/>
          <w:szCs w:val="32"/>
        </w:rPr>
      </w:pPr>
    </w:p>
    <w:p w14:paraId="413F0B94">
      <w:pPr>
        <w:spacing w:after="0" w:line="560" w:lineRule="exact"/>
        <w:rPr>
          <w:rFonts w:eastAsia="仿宋_GB2312" w:cs="Times New Roman"/>
          <w:kern w:val="0"/>
          <w:sz w:val="32"/>
          <w:szCs w:val="32"/>
        </w:rPr>
      </w:pPr>
    </w:p>
    <w:sectPr>
      <w:footerReference r:id="rId5" w:type="default"/>
      <w:pgSz w:w="11906" w:h="16838"/>
      <w:pgMar w:top="1440" w:right="1800" w:bottom="1440" w:left="1800"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98D84C-07DE-433E-AC50-3210E29F4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DD16FA99-00E9-4689-A359-E305958AF2F2}"/>
  </w:font>
  <w:font w:name="方正小标宋_GBK">
    <w:panose1 w:val="03000509000000000000"/>
    <w:charset w:val="86"/>
    <w:family w:val="script"/>
    <w:pitch w:val="default"/>
    <w:sig w:usb0="00000001" w:usb1="080E0000" w:usb2="00000000" w:usb3="00000000" w:csb0="00040000" w:csb1="00000000"/>
    <w:embedRegular r:id="rId3" w:fontKey="{DB3A1B68-79D4-431F-99AF-3213AC8E8A22}"/>
  </w:font>
  <w:font w:name="方正黑体_GBK">
    <w:panose1 w:val="02000000000000000000"/>
    <w:charset w:val="86"/>
    <w:family w:val="script"/>
    <w:pitch w:val="default"/>
    <w:sig w:usb0="A00002BF" w:usb1="38CF7CFA" w:usb2="00082016" w:usb3="00000000" w:csb0="00040001" w:csb1="00000000"/>
    <w:embedRegular r:id="rId4" w:fontKey="{04276BC4-8EFB-4996-819E-C9C36760276C}"/>
  </w:font>
  <w:font w:name="方正仿宋_GB2312">
    <w:panose1 w:val="02000000000000000000"/>
    <w:charset w:val="86"/>
    <w:family w:val="auto"/>
    <w:pitch w:val="default"/>
    <w:sig w:usb0="A00002BF" w:usb1="184F6CFA" w:usb2="00000012" w:usb3="00000000" w:csb0="00040001" w:csb1="00000000"/>
    <w:embedRegular r:id="rId5" w:fontKey="{76171896-E25F-4D39-B668-D39D7C8918E8}"/>
  </w:font>
  <w:font w:name="仿宋_GB2312">
    <w:panose1 w:val="02010609030101010101"/>
    <w:charset w:val="86"/>
    <w:family w:val="modern"/>
    <w:pitch w:val="default"/>
    <w:sig w:usb0="00000001" w:usb1="080E0000" w:usb2="00000000" w:usb3="00000000" w:csb0="00040000" w:csb1="00000000"/>
    <w:embedRegular r:id="rId6" w:fontKey="{57D4066E-07DD-44EA-BBA7-F996DBCEBCC6}"/>
  </w:font>
  <w:font w:name="楷体">
    <w:panose1 w:val="02010609060101010101"/>
    <w:charset w:val="86"/>
    <w:family w:val="modern"/>
    <w:pitch w:val="default"/>
    <w:sig w:usb0="800002BF" w:usb1="38CF7CFA" w:usb2="00000016" w:usb3="00000000" w:csb0="00040001" w:csb1="00000000"/>
    <w:embedRegular r:id="rId7" w:fontKey="{7E8C3763-EEC1-4EE4-B264-2807F38F0B23}"/>
  </w:font>
  <w:font w:name="微软雅黑">
    <w:panose1 w:val="020B0503020204020204"/>
    <w:charset w:val="86"/>
    <w:family w:val="swiss"/>
    <w:pitch w:val="default"/>
    <w:sig w:usb0="80000287" w:usb1="2ACF3C50" w:usb2="00000016" w:usb3="00000000" w:csb0="0004001F" w:csb1="00000000"/>
    <w:embedRegular r:id="rId8" w:fontKey="{E8BC03E3-4026-4A5D-95B4-C32CA0E84379}"/>
  </w:font>
  <w:font w:name="方正楷体_GB2312">
    <w:panose1 w:val="02000000000000000000"/>
    <w:charset w:val="86"/>
    <w:family w:val="auto"/>
    <w:pitch w:val="default"/>
    <w:sig w:usb0="A00002BF" w:usb1="184F6CFA" w:usb2="00000012" w:usb3="00000000" w:csb0="00040001" w:csb1="00000000"/>
    <w:embedRegular r:id="rId9" w:fontKey="{E84E5F72-E822-40AB-BE74-FAFBED3DC491}"/>
  </w:font>
  <w:font w:name="方正楷体_GBK">
    <w:panose1 w:val="03000509000000000000"/>
    <w:charset w:val="86"/>
    <w:family w:val="auto"/>
    <w:pitch w:val="default"/>
    <w:sig w:usb0="00000001" w:usb1="080E0000" w:usb2="00000000" w:usb3="00000000" w:csb0="00040000" w:csb1="00000000"/>
    <w:embedRegular r:id="rId10" w:fontKey="{675345C0-665B-4B0A-978D-AA1EEB2AFFB0}"/>
  </w:font>
  <w:font w:name="方正仿宋_GBK">
    <w:panose1 w:val="03000509000000000000"/>
    <w:charset w:val="86"/>
    <w:family w:val="auto"/>
    <w:pitch w:val="default"/>
    <w:sig w:usb0="00000001" w:usb1="080E0000" w:usb2="00000000" w:usb3="00000000" w:csb0="00040000" w:csb1="00000000"/>
    <w:embedRegular r:id="rId11" w:fontKey="{AD3D38C8-00B3-46B6-A05D-09AF7C074C87}"/>
  </w:font>
  <w:font w:name="方正小标宋简体">
    <w:panose1 w:val="03000509000000000000"/>
    <w:charset w:val="86"/>
    <w:family w:val="script"/>
    <w:pitch w:val="default"/>
    <w:sig w:usb0="00000001" w:usb1="080E0000" w:usb2="00000000" w:usb3="00000000" w:csb0="00040000" w:csb1="00000000"/>
    <w:embedRegular r:id="rId12" w:fontKey="{62C64D93-36A4-433E-BF5A-DF85CB9B62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B559">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99E5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799E5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82234"/>
    <w:multiLevelType w:val="singleLevel"/>
    <w:tmpl w:val="F5882234"/>
    <w:lvl w:ilvl="0" w:tentative="0">
      <w:start w:val="1"/>
      <w:numFmt w:val="chineseCounting"/>
      <w:suff w:val="nothing"/>
      <w:lvlText w:val="%1、"/>
      <w:lvlJc w:val="left"/>
      <w:rPr>
        <w:rFonts w:hint="eastAsia" w:ascii="方正黑体_GBK" w:hAnsi="方正黑体_GBK" w:eastAsia="方正黑体_GBK" w:cs="方正黑体_GBK"/>
      </w:rPr>
    </w:lvl>
  </w:abstractNum>
  <w:abstractNum w:abstractNumId="1">
    <w:nsid w:val="130B9C68"/>
    <w:multiLevelType w:val="singleLevel"/>
    <w:tmpl w:val="130B9C68"/>
    <w:lvl w:ilvl="0" w:tentative="0">
      <w:start w:val="6"/>
      <w:numFmt w:val="chineseCounting"/>
      <w:suff w:val="nothing"/>
      <w:lvlText w:val="%1、"/>
      <w:lvlJc w:val="left"/>
      <w:rPr>
        <w:rFonts w:hint="eastAsia"/>
      </w:rPr>
    </w:lvl>
  </w:abstractNum>
  <w:abstractNum w:abstractNumId="2">
    <w:nsid w:val="5D63B6CD"/>
    <w:multiLevelType w:val="singleLevel"/>
    <w:tmpl w:val="5D63B6CD"/>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D0"/>
    <w:rsid w:val="000130F2"/>
    <w:rsid w:val="000345FA"/>
    <w:rsid w:val="00035185"/>
    <w:rsid w:val="000362E8"/>
    <w:rsid w:val="00047B6F"/>
    <w:rsid w:val="00065167"/>
    <w:rsid w:val="00073E0E"/>
    <w:rsid w:val="000C69D0"/>
    <w:rsid w:val="000E6231"/>
    <w:rsid w:val="000F0094"/>
    <w:rsid w:val="000F6784"/>
    <w:rsid w:val="00137BD5"/>
    <w:rsid w:val="00196C9D"/>
    <w:rsid w:val="001B2A35"/>
    <w:rsid w:val="001E7D4A"/>
    <w:rsid w:val="001F47B5"/>
    <w:rsid w:val="001F61D4"/>
    <w:rsid w:val="00204595"/>
    <w:rsid w:val="00222591"/>
    <w:rsid w:val="002233F2"/>
    <w:rsid w:val="0024640E"/>
    <w:rsid w:val="00256FC8"/>
    <w:rsid w:val="0025763F"/>
    <w:rsid w:val="00282C38"/>
    <w:rsid w:val="0028765C"/>
    <w:rsid w:val="002C1654"/>
    <w:rsid w:val="002C252E"/>
    <w:rsid w:val="002E47AD"/>
    <w:rsid w:val="002F0349"/>
    <w:rsid w:val="00333EB7"/>
    <w:rsid w:val="003423CC"/>
    <w:rsid w:val="00347549"/>
    <w:rsid w:val="003608C6"/>
    <w:rsid w:val="00364269"/>
    <w:rsid w:val="003A4A20"/>
    <w:rsid w:val="003A4E75"/>
    <w:rsid w:val="003B70B1"/>
    <w:rsid w:val="003F0DD6"/>
    <w:rsid w:val="003F29F7"/>
    <w:rsid w:val="003F674D"/>
    <w:rsid w:val="00415429"/>
    <w:rsid w:val="00424FE7"/>
    <w:rsid w:val="00452437"/>
    <w:rsid w:val="00464F0C"/>
    <w:rsid w:val="004861BF"/>
    <w:rsid w:val="0049035C"/>
    <w:rsid w:val="004948CE"/>
    <w:rsid w:val="004B738C"/>
    <w:rsid w:val="00516F66"/>
    <w:rsid w:val="005208A7"/>
    <w:rsid w:val="00532EE5"/>
    <w:rsid w:val="0054691C"/>
    <w:rsid w:val="00551F0C"/>
    <w:rsid w:val="005576D7"/>
    <w:rsid w:val="00566813"/>
    <w:rsid w:val="0057310A"/>
    <w:rsid w:val="005805BD"/>
    <w:rsid w:val="005854F3"/>
    <w:rsid w:val="005930E5"/>
    <w:rsid w:val="00595333"/>
    <w:rsid w:val="005A700D"/>
    <w:rsid w:val="005B6362"/>
    <w:rsid w:val="005F4EB0"/>
    <w:rsid w:val="00614047"/>
    <w:rsid w:val="00637876"/>
    <w:rsid w:val="00640F46"/>
    <w:rsid w:val="006446AA"/>
    <w:rsid w:val="00656577"/>
    <w:rsid w:val="006A441D"/>
    <w:rsid w:val="006B6285"/>
    <w:rsid w:val="006C5C1F"/>
    <w:rsid w:val="006E687D"/>
    <w:rsid w:val="00703ED2"/>
    <w:rsid w:val="00707719"/>
    <w:rsid w:val="007232D9"/>
    <w:rsid w:val="0073258D"/>
    <w:rsid w:val="00752233"/>
    <w:rsid w:val="0076018E"/>
    <w:rsid w:val="007675A4"/>
    <w:rsid w:val="00785912"/>
    <w:rsid w:val="007A04B8"/>
    <w:rsid w:val="007C24EB"/>
    <w:rsid w:val="007E4087"/>
    <w:rsid w:val="007F0005"/>
    <w:rsid w:val="00833F48"/>
    <w:rsid w:val="00844246"/>
    <w:rsid w:val="00847F1B"/>
    <w:rsid w:val="00864C02"/>
    <w:rsid w:val="00884A26"/>
    <w:rsid w:val="00892664"/>
    <w:rsid w:val="008A0D3D"/>
    <w:rsid w:val="008B771D"/>
    <w:rsid w:val="008E4D1C"/>
    <w:rsid w:val="008E647C"/>
    <w:rsid w:val="00906C10"/>
    <w:rsid w:val="009735E3"/>
    <w:rsid w:val="00977464"/>
    <w:rsid w:val="009C0FD5"/>
    <w:rsid w:val="009E7EF1"/>
    <w:rsid w:val="009F7308"/>
    <w:rsid w:val="00A07A21"/>
    <w:rsid w:val="00A252AE"/>
    <w:rsid w:val="00A362CE"/>
    <w:rsid w:val="00A46696"/>
    <w:rsid w:val="00A84C4A"/>
    <w:rsid w:val="00AA25DA"/>
    <w:rsid w:val="00AF359D"/>
    <w:rsid w:val="00B03523"/>
    <w:rsid w:val="00B111E8"/>
    <w:rsid w:val="00B330C8"/>
    <w:rsid w:val="00B53DD2"/>
    <w:rsid w:val="00B63F55"/>
    <w:rsid w:val="00B9795D"/>
    <w:rsid w:val="00BC6560"/>
    <w:rsid w:val="00C20384"/>
    <w:rsid w:val="00C34AE5"/>
    <w:rsid w:val="00C5569D"/>
    <w:rsid w:val="00CB3865"/>
    <w:rsid w:val="00CB3D9D"/>
    <w:rsid w:val="00CF6842"/>
    <w:rsid w:val="00D101E1"/>
    <w:rsid w:val="00D7785C"/>
    <w:rsid w:val="00D81E88"/>
    <w:rsid w:val="00D9707F"/>
    <w:rsid w:val="00DA2F83"/>
    <w:rsid w:val="00DA669B"/>
    <w:rsid w:val="00DB15D1"/>
    <w:rsid w:val="00DF7322"/>
    <w:rsid w:val="00E06025"/>
    <w:rsid w:val="00E13EB0"/>
    <w:rsid w:val="00E42F02"/>
    <w:rsid w:val="00E5569E"/>
    <w:rsid w:val="00E75E9D"/>
    <w:rsid w:val="00E76113"/>
    <w:rsid w:val="00EC465D"/>
    <w:rsid w:val="00EE024F"/>
    <w:rsid w:val="00F2497A"/>
    <w:rsid w:val="00F27F75"/>
    <w:rsid w:val="00FA18B1"/>
    <w:rsid w:val="00FB058C"/>
    <w:rsid w:val="00FB0E35"/>
    <w:rsid w:val="00FC4C81"/>
    <w:rsid w:val="00FF77A1"/>
    <w:rsid w:val="018A58CB"/>
    <w:rsid w:val="024D4A7D"/>
    <w:rsid w:val="02595177"/>
    <w:rsid w:val="02D00F50"/>
    <w:rsid w:val="036208AE"/>
    <w:rsid w:val="0389493D"/>
    <w:rsid w:val="03CE04A1"/>
    <w:rsid w:val="03D735C8"/>
    <w:rsid w:val="0402708D"/>
    <w:rsid w:val="043D3074"/>
    <w:rsid w:val="05404C1F"/>
    <w:rsid w:val="06253E14"/>
    <w:rsid w:val="06383B48"/>
    <w:rsid w:val="067A7CBC"/>
    <w:rsid w:val="0709086B"/>
    <w:rsid w:val="082669E7"/>
    <w:rsid w:val="08E51639"/>
    <w:rsid w:val="093525C0"/>
    <w:rsid w:val="09420839"/>
    <w:rsid w:val="094523C3"/>
    <w:rsid w:val="09BE3DAA"/>
    <w:rsid w:val="0AFC0CF2"/>
    <w:rsid w:val="0C411D16"/>
    <w:rsid w:val="0CBF0B1F"/>
    <w:rsid w:val="0FC621C4"/>
    <w:rsid w:val="109F3994"/>
    <w:rsid w:val="117A3266"/>
    <w:rsid w:val="11EE2951"/>
    <w:rsid w:val="134B5AB7"/>
    <w:rsid w:val="14C40342"/>
    <w:rsid w:val="150D2643"/>
    <w:rsid w:val="163C5EE9"/>
    <w:rsid w:val="170720FD"/>
    <w:rsid w:val="172F063B"/>
    <w:rsid w:val="18E67D3F"/>
    <w:rsid w:val="199C3945"/>
    <w:rsid w:val="1A1354D0"/>
    <w:rsid w:val="1AB86BAD"/>
    <w:rsid w:val="1B0E283C"/>
    <w:rsid w:val="1BF34341"/>
    <w:rsid w:val="1F0E60F8"/>
    <w:rsid w:val="1FA23F65"/>
    <w:rsid w:val="1FA816A3"/>
    <w:rsid w:val="205C79C8"/>
    <w:rsid w:val="20EE2BC7"/>
    <w:rsid w:val="23173788"/>
    <w:rsid w:val="254D53C2"/>
    <w:rsid w:val="26597496"/>
    <w:rsid w:val="265B47EB"/>
    <w:rsid w:val="2749750B"/>
    <w:rsid w:val="277A2184"/>
    <w:rsid w:val="27CE466E"/>
    <w:rsid w:val="27CF4F46"/>
    <w:rsid w:val="28A30E9D"/>
    <w:rsid w:val="28AE2BBB"/>
    <w:rsid w:val="297963BE"/>
    <w:rsid w:val="297F5466"/>
    <w:rsid w:val="2A40620E"/>
    <w:rsid w:val="2B541F7C"/>
    <w:rsid w:val="2B882CE2"/>
    <w:rsid w:val="2BFF63EA"/>
    <w:rsid w:val="2D1265F1"/>
    <w:rsid w:val="2DCF003E"/>
    <w:rsid w:val="2F285C58"/>
    <w:rsid w:val="30BE4485"/>
    <w:rsid w:val="31464A2C"/>
    <w:rsid w:val="31E26722"/>
    <w:rsid w:val="321471A7"/>
    <w:rsid w:val="33B26B94"/>
    <w:rsid w:val="36941E25"/>
    <w:rsid w:val="376D190C"/>
    <w:rsid w:val="37EA1649"/>
    <w:rsid w:val="38277057"/>
    <w:rsid w:val="38F17A02"/>
    <w:rsid w:val="3AD45894"/>
    <w:rsid w:val="3C2117F3"/>
    <w:rsid w:val="3CCA3197"/>
    <w:rsid w:val="3D986606"/>
    <w:rsid w:val="3DA82DB4"/>
    <w:rsid w:val="3E2F64F6"/>
    <w:rsid w:val="3E425B80"/>
    <w:rsid w:val="3E644DBA"/>
    <w:rsid w:val="3EBD749F"/>
    <w:rsid w:val="3F744EE9"/>
    <w:rsid w:val="3FD61700"/>
    <w:rsid w:val="40C559FD"/>
    <w:rsid w:val="40D23C76"/>
    <w:rsid w:val="41764537"/>
    <w:rsid w:val="41EFCACD"/>
    <w:rsid w:val="422E5178"/>
    <w:rsid w:val="425828A0"/>
    <w:rsid w:val="42A85EEA"/>
    <w:rsid w:val="43C57CEA"/>
    <w:rsid w:val="46102A29"/>
    <w:rsid w:val="46A61E2C"/>
    <w:rsid w:val="4729480B"/>
    <w:rsid w:val="472A4B6B"/>
    <w:rsid w:val="47B95DF7"/>
    <w:rsid w:val="480F1912"/>
    <w:rsid w:val="48E411E2"/>
    <w:rsid w:val="4A070E34"/>
    <w:rsid w:val="4A954692"/>
    <w:rsid w:val="4B813EFC"/>
    <w:rsid w:val="4BD270B4"/>
    <w:rsid w:val="4EFE344A"/>
    <w:rsid w:val="502335FB"/>
    <w:rsid w:val="50DF5279"/>
    <w:rsid w:val="52432C25"/>
    <w:rsid w:val="541A3623"/>
    <w:rsid w:val="547D7F12"/>
    <w:rsid w:val="54BF3F0F"/>
    <w:rsid w:val="555A6C6B"/>
    <w:rsid w:val="55D3606E"/>
    <w:rsid w:val="56EA7DC3"/>
    <w:rsid w:val="56F426B7"/>
    <w:rsid w:val="56FE60FE"/>
    <w:rsid w:val="573C7C43"/>
    <w:rsid w:val="57F90419"/>
    <w:rsid w:val="591E0A43"/>
    <w:rsid w:val="597F30AE"/>
    <w:rsid w:val="5A490175"/>
    <w:rsid w:val="5C4675D4"/>
    <w:rsid w:val="5D425C8F"/>
    <w:rsid w:val="5D572BC8"/>
    <w:rsid w:val="60275D84"/>
    <w:rsid w:val="603B318E"/>
    <w:rsid w:val="61A65EC3"/>
    <w:rsid w:val="61F4632C"/>
    <w:rsid w:val="62744735"/>
    <w:rsid w:val="6353259C"/>
    <w:rsid w:val="63E808DF"/>
    <w:rsid w:val="64013B1C"/>
    <w:rsid w:val="649015CE"/>
    <w:rsid w:val="65223445"/>
    <w:rsid w:val="657635C6"/>
    <w:rsid w:val="65DC15D7"/>
    <w:rsid w:val="669D43E4"/>
    <w:rsid w:val="675F4063"/>
    <w:rsid w:val="69431305"/>
    <w:rsid w:val="6A0A65B4"/>
    <w:rsid w:val="6AC92D3D"/>
    <w:rsid w:val="6B606C6A"/>
    <w:rsid w:val="6E364222"/>
    <w:rsid w:val="6F6451D9"/>
    <w:rsid w:val="6F6A3147"/>
    <w:rsid w:val="709E3A57"/>
    <w:rsid w:val="719B56EF"/>
    <w:rsid w:val="71E371E1"/>
    <w:rsid w:val="73263829"/>
    <w:rsid w:val="746001DC"/>
    <w:rsid w:val="74F3598D"/>
    <w:rsid w:val="775A1CF3"/>
    <w:rsid w:val="77DE3C95"/>
    <w:rsid w:val="77F663E1"/>
    <w:rsid w:val="7A22231A"/>
    <w:rsid w:val="7ABF4874"/>
    <w:rsid w:val="7ACE6B94"/>
    <w:rsid w:val="7C696813"/>
    <w:rsid w:val="7C7575D0"/>
    <w:rsid w:val="7CEF191D"/>
    <w:rsid w:val="7DE14C3F"/>
    <w:rsid w:val="7E4234E1"/>
    <w:rsid w:val="7E90249F"/>
    <w:rsid w:val="7FDD57B2"/>
    <w:rsid w:val="7FE86417"/>
    <w:rsid w:val="9E8780A8"/>
    <w:rsid w:val="FCF73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Arial"/>
      <w:kern w:val="2"/>
      <w:sz w:val="21"/>
      <w:szCs w:val="24"/>
      <w:lang w:val="en-US" w:eastAsia="zh-CN" w:bidi="ar-SA"/>
    </w:rPr>
  </w:style>
  <w:style w:type="paragraph" w:styleId="2">
    <w:name w:val="heading 3"/>
    <w:basedOn w:val="1"/>
    <w:next w:val="1"/>
    <w:qFormat/>
    <w:uiPriority w:val="0"/>
    <w:pPr>
      <w:outlineLvl w:val="2"/>
    </w:pPr>
    <w:rPr>
      <w:rFonts w:ascii="宋体" w:hAnsi="宋体" w:eastAsia="黑体"/>
      <w:sz w:val="27"/>
      <w:szCs w:val="27"/>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link w:val="25"/>
    <w:unhideWhenUsed/>
    <w:qFormat/>
    <w:uiPriority w:val="99"/>
    <w:pPr>
      <w:spacing w:after="120"/>
    </w:pPr>
  </w:style>
  <w:style w:type="paragraph" w:styleId="5">
    <w:name w:val="Balloon Text"/>
    <w:basedOn w:val="1"/>
    <w:link w:val="16"/>
    <w:qFormat/>
    <w:uiPriority w:val="0"/>
    <w:pPr>
      <w:spacing w:after="0" w:line="240" w:lineRule="auto"/>
    </w:pPr>
    <w:rPr>
      <w:sz w:val="18"/>
      <w:szCs w:val="18"/>
    </w:rPr>
  </w:style>
  <w:style w:type="paragraph" w:styleId="6">
    <w:name w:val="footer"/>
    <w:basedOn w:val="1"/>
    <w:next w:val="1"/>
    <w:link w:val="18"/>
    <w:qFormat/>
    <w:uiPriority w:val="0"/>
    <w:pPr>
      <w:tabs>
        <w:tab w:val="center" w:pos="4153"/>
        <w:tab w:val="right" w:pos="8306"/>
      </w:tabs>
      <w:snapToGrid w:val="0"/>
      <w:spacing w:line="240" w:lineRule="auto"/>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4"/>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NOTE_Normal"/>
    <w:basedOn w:val="1"/>
    <w:qFormat/>
    <w:uiPriority w:val="0"/>
  </w:style>
  <w:style w:type="character" w:customStyle="1" w:styleId="16">
    <w:name w:val="批注框文本 字符"/>
    <w:basedOn w:val="12"/>
    <w:link w:val="5"/>
    <w:qFormat/>
    <w:uiPriority w:val="0"/>
    <w:rPr>
      <w:kern w:val="2"/>
      <w:sz w:val="18"/>
      <w:szCs w:val="18"/>
    </w:rPr>
  </w:style>
  <w:style w:type="character" w:customStyle="1" w:styleId="17">
    <w:name w:val="页眉 字符"/>
    <w:basedOn w:val="12"/>
    <w:link w:val="7"/>
    <w:qFormat/>
    <w:uiPriority w:val="0"/>
    <w:rPr>
      <w:kern w:val="2"/>
      <w:sz w:val="18"/>
      <w:szCs w:val="18"/>
    </w:rPr>
  </w:style>
  <w:style w:type="character" w:customStyle="1" w:styleId="18">
    <w:name w:val="页脚 字符"/>
    <w:basedOn w:val="12"/>
    <w:link w:val="6"/>
    <w:qFormat/>
    <w:uiPriority w:val="0"/>
    <w:rPr>
      <w:kern w:val="2"/>
      <w:sz w:val="18"/>
      <w:szCs w:val="18"/>
    </w:rPr>
  </w:style>
  <w:style w:type="paragraph" w:customStyle="1" w:styleId="19">
    <w:name w:val="修订1"/>
    <w:hidden/>
    <w:semiHidden/>
    <w:qFormat/>
    <w:uiPriority w:val="99"/>
    <w:rPr>
      <w:rFonts w:ascii="Calibri" w:hAnsi="Calibri" w:eastAsia="宋体" w:cs="Arial"/>
      <w:kern w:val="2"/>
      <w:sz w:val="21"/>
      <w:szCs w:val="24"/>
      <w:lang w:val="en-US" w:eastAsia="zh-CN" w:bidi="ar-SA"/>
    </w:rPr>
  </w:style>
  <w:style w:type="paragraph" w:customStyle="1" w:styleId="20">
    <w:name w:val="Table Text"/>
    <w:basedOn w:val="1"/>
    <w:semiHidden/>
    <w:qFormat/>
    <w:uiPriority w:val="0"/>
    <w:rPr>
      <w:rFonts w:ascii="仿宋" w:hAnsi="仿宋" w:eastAsia="仿宋" w:cs="仿宋"/>
      <w:sz w:val="28"/>
      <w:szCs w:val="28"/>
      <w:lang w:eastAsia="en-US"/>
    </w:rPr>
  </w:style>
  <w:style w:type="paragraph" w:customStyle="1" w:styleId="21">
    <w:name w:val="列表段落1"/>
    <w:basedOn w:val="1"/>
    <w:qFormat/>
    <w:uiPriority w:val="0"/>
    <w:pPr>
      <w:ind w:firstLine="420" w:firstLineChars="200"/>
    </w:pPr>
  </w:style>
  <w:style w:type="paragraph" w:customStyle="1" w:styleId="22">
    <w:name w:val="Revision"/>
    <w:hidden/>
    <w:unhideWhenUsed/>
    <w:qFormat/>
    <w:uiPriority w:val="99"/>
    <w:rPr>
      <w:rFonts w:ascii="Calibri" w:hAnsi="Calibri" w:eastAsia="宋体" w:cs="Arial"/>
      <w:kern w:val="2"/>
      <w:sz w:val="21"/>
      <w:szCs w:val="24"/>
      <w:lang w:val="en-US" w:eastAsia="zh-CN" w:bidi="ar-SA"/>
    </w:rPr>
  </w:style>
  <w:style w:type="character" w:customStyle="1" w:styleId="23">
    <w:name w:val="批注文字 字符"/>
    <w:basedOn w:val="12"/>
    <w:link w:val="3"/>
    <w:qFormat/>
    <w:uiPriority w:val="0"/>
    <w:rPr>
      <w:rFonts w:ascii="Calibri" w:hAnsi="Calibri" w:cs="Arial"/>
      <w:kern w:val="2"/>
      <w:sz w:val="21"/>
      <w:szCs w:val="24"/>
    </w:rPr>
  </w:style>
  <w:style w:type="character" w:customStyle="1" w:styleId="24">
    <w:name w:val="批注主题 字符"/>
    <w:basedOn w:val="23"/>
    <w:link w:val="9"/>
    <w:qFormat/>
    <w:uiPriority w:val="0"/>
    <w:rPr>
      <w:rFonts w:ascii="Calibri" w:hAnsi="Calibri" w:cs="Arial"/>
      <w:b/>
      <w:bCs/>
      <w:kern w:val="2"/>
      <w:sz w:val="21"/>
      <w:szCs w:val="24"/>
    </w:rPr>
  </w:style>
  <w:style w:type="character" w:customStyle="1" w:styleId="25">
    <w:name w:val="正文文本 字符"/>
    <w:basedOn w:val="12"/>
    <w:link w:val="4"/>
    <w:qFormat/>
    <w:uiPriority w:val="99"/>
    <w:rPr>
      <w:rFonts w:ascii="Calibri" w:hAnsi="Calibri" w:cs="Arial"/>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9637</Words>
  <Characters>9902</Characters>
  <Lines>159</Lines>
  <Paragraphs>130</Paragraphs>
  <TotalTime>33</TotalTime>
  <ScaleCrop>false</ScaleCrop>
  <LinksUpToDate>false</LinksUpToDate>
  <CharactersWithSpaces>9991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2025-04-15T03:37:00Z</dcterms:created>
  <dc:creator>47449;windows</dc:creator>
  <cp:lastModifiedBy>广西政府网站集约化平台</cp:lastModifiedBy>
  <cp:lastPrinted>2025-11-05T10:29:00Z</cp:lastPrinted>
  <dcterms:modified xsi:type="dcterms:W3CDTF">2026-04-22T01:21:21Z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544611267ED74CE2BCC2972B30A896F0_13</vt:lpwstr>
  </property>
  <property fmtid="{D5CDD505-2E9C-101B-9397-08002B2CF9AE}" pid="4" name="KSOTemplateDocerSaveRecord">
    <vt:lpwstr>eyJoZGlkIjoiNGM3YmQ0MzFlYWM4MzU5NjExOWQ1MmE5YzdkN2UyZGIiLCJ1c2VySWQiOiIxNjE5ODIxNDU4In0=</vt:lpwstr>
  </property>
</Properties>
</file>