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40" w:hanging="440" w:hangingChars="100"/>
        <w:jc w:val="center"/>
        <w:rPr>
          <w:rFonts w:hint="eastAsia" w:ascii="Times New Roman" w:hAnsi="Times New Roman" w:eastAsia="方正小标宋简体" w:cs="Times New Roman"/>
          <w:sz w:val="44"/>
          <w:szCs w:val="52"/>
        </w:rPr>
      </w:pPr>
      <w:r>
        <w:rPr>
          <w:rFonts w:hint="eastAsia" w:ascii="Times New Roman" w:hAnsi="Times New Roman" w:eastAsia="方正小标宋简体" w:cs="Times New Roman"/>
          <w:sz w:val="44"/>
          <w:szCs w:val="52"/>
          <w:lang w:eastAsia="zh-CN"/>
        </w:rPr>
        <w:t>“AI赋能千行百业超级联赛”主题宣传片制作服务</w:t>
      </w:r>
      <w:r>
        <w:rPr>
          <w:rFonts w:hint="eastAsia" w:ascii="Times New Roman" w:hAnsi="Times New Roman" w:eastAsia="方正小标宋简体" w:cs="Times New Roman"/>
          <w:sz w:val="44"/>
          <w:szCs w:val="52"/>
        </w:rPr>
        <w:t>采购需求</w:t>
      </w:r>
    </w:p>
    <w:p>
      <w:pPr>
        <w:spacing w:line="560" w:lineRule="exact"/>
        <w:jc w:val="center"/>
        <w:rPr>
          <w:rFonts w:ascii="Times New Roman" w:hAnsi="Times New Roman" w:eastAsia="Arial Unicode MS" w:cs="Times New Roman"/>
          <w:sz w:val="44"/>
          <w:szCs w:val="52"/>
        </w:rPr>
      </w:pP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一、项目名称</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lang w:eastAsia="zh-CN"/>
        </w:rPr>
        <w:t>“AI赋能千行百业超级联赛”主题宣传片制作服务</w:t>
      </w:r>
    </w:p>
    <w:p>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二、采购单位</w:t>
      </w:r>
    </w:p>
    <w:p>
      <w:pPr>
        <w:pageBreakBefore w:val="0"/>
        <w:kinsoku/>
        <w:wordWrap/>
        <w:autoSpaceDE/>
        <w:autoSpaceDN/>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广西壮族自治区大数据发展局</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三</w:t>
      </w:r>
      <w:r>
        <w:rPr>
          <w:rFonts w:hint="eastAsia" w:ascii="黑体" w:hAnsi="黑体" w:eastAsia="黑体" w:cs="黑体"/>
          <w:sz w:val="32"/>
          <w:szCs w:val="40"/>
        </w:rPr>
        <w:t>、项目预算</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40.6</w:t>
      </w:r>
      <w:r>
        <w:rPr>
          <w:rFonts w:ascii="Times New Roman" w:hAnsi="Times New Roman" w:eastAsia="仿宋" w:cs="Times New Roman"/>
          <w:sz w:val="32"/>
          <w:szCs w:val="40"/>
        </w:rPr>
        <w:t>万元</w:t>
      </w:r>
    </w:p>
    <w:p>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四、服务时间</w:t>
      </w:r>
    </w:p>
    <w:p>
      <w:pPr>
        <w:pageBreakBefore w:val="0"/>
        <w:kinsoku/>
        <w:wordWrap/>
        <w:autoSpaceDE/>
        <w:autoSpaceDN/>
        <w:bidi w:val="0"/>
        <w:spacing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合同签订之日起至 2025年10月31日</w:t>
      </w:r>
      <w:bookmarkStart w:id="1" w:name="_GoBack"/>
      <w:bookmarkEnd w:id="1"/>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、项目招标方式</w:t>
      </w:r>
    </w:p>
    <w:p>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局内控竞争性磋商</w:t>
      </w:r>
    </w:p>
    <w:p>
      <w:pPr>
        <w:spacing w:line="560" w:lineRule="exact"/>
        <w:ind w:firstLine="640" w:firstLineChars="200"/>
        <w:rPr>
          <w:rFonts w:hint="eastAsia" w:ascii="黑体" w:hAnsi="黑体" w:eastAsia="黑体" w:cs="黑体"/>
          <w:sz w:val="32"/>
          <w:szCs w:val="40"/>
          <w:lang w:eastAsia="zh-CN"/>
        </w:rPr>
      </w:pPr>
      <w:r>
        <w:rPr>
          <w:rFonts w:hint="eastAsia" w:ascii="黑体" w:hAnsi="黑体" w:eastAsia="黑体" w:cs="黑体"/>
          <w:sz w:val="32"/>
          <w:szCs w:val="40"/>
          <w:lang w:val="en-US" w:eastAsia="zh-CN"/>
        </w:rPr>
        <w:t>六、</w:t>
      </w:r>
      <w:r>
        <w:rPr>
          <w:rFonts w:hint="eastAsia" w:ascii="黑体" w:hAnsi="黑体" w:eastAsia="黑体" w:cs="黑体"/>
          <w:sz w:val="32"/>
          <w:szCs w:val="40"/>
        </w:rPr>
        <w:t>项目</w:t>
      </w:r>
      <w:r>
        <w:rPr>
          <w:rFonts w:hint="eastAsia" w:ascii="黑体" w:hAnsi="黑体" w:eastAsia="黑体" w:cs="黑体"/>
          <w:sz w:val="32"/>
          <w:szCs w:val="40"/>
          <w:lang w:eastAsia="zh-CN"/>
        </w:rPr>
        <w:t>背景</w:t>
      </w:r>
    </w:p>
    <w:p>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rPr>
        <w:t>为落实自治区关于大力发展人工智能产业，推动人工智能与千行百业的深度融合，激发创新活力，培养高素质人才。按照自治区关于举办“AI赋能千行百业超级联赛”的有关要求，采购主题宣传片制作服务，通过宣传片加强赛事吸引力和影响力。</w:t>
      </w:r>
    </w:p>
    <w:p>
      <w:pPr>
        <w:spacing w:line="560" w:lineRule="exact"/>
        <w:ind w:firstLine="640" w:firstLineChars="200"/>
        <w:rPr>
          <w:rFonts w:ascii="Times New Roman" w:hAnsi="Times New Roman" w:eastAsia="黑体" w:cs="Times New Roman"/>
          <w:sz w:val="32"/>
          <w:szCs w:val="40"/>
        </w:rPr>
      </w:pPr>
      <w:r>
        <w:rPr>
          <w:rFonts w:hint="eastAsia" w:ascii="黑体" w:hAnsi="黑体" w:eastAsia="黑体" w:cs="黑体"/>
          <w:sz w:val="32"/>
          <w:szCs w:val="40"/>
          <w:lang w:eastAsia="zh-CN"/>
        </w:rPr>
        <w:t>七</w:t>
      </w:r>
      <w:r>
        <w:rPr>
          <w:rFonts w:hint="eastAsia" w:ascii="黑体" w:hAnsi="黑体" w:eastAsia="黑体" w:cs="黑体"/>
          <w:sz w:val="32"/>
          <w:szCs w:val="40"/>
        </w:rPr>
        <w:t>、服务内容</w:t>
      </w:r>
    </w:p>
    <w:p>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（一）采购内容</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1.主题宣传片脚本策划。“AI赋能千行百业超级联赛联赛”主题宣传片脚本策划服务，派驻资深视频策划人员不少于2人协助制作策划脚本。</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2.主题宣传片前期拍摄。</w:t>
      </w:r>
      <w:r>
        <w:rPr>
          <w:rFonts w:hint="eastAsia" w:ascii="方正仿宋_GBK" w:hAnsi="方正仿宋_GBK" w:eastAsia="方正仿宋_GBK" w:cs="方正仿宋_GBK"/>
          <w:color w:val="000000"/>
          <w:kern w:val="0"/>
          <w:sz w:val="32"/>
          <w:szCs w:val="32"/>
          <w:highlight w:val="none"/>
        </w:rPr>
        <w:t>“AI赋能千行百业超级联赛联赛”主题宣传片前期拍摄服务，选取不少于5个广西或东盟国家的企业或园区作为取景地，</w:t>
      </w:r>
      <w:r>
        <w:rPr>
          <w:rFonts w:hint="eastAsia" w:ascii="方正仿宋_GBK" w:hAnsi="方正仿宋_GBK" w:eastAsia="方正仿宋_GBK" w:cs="方正仿宋_GBK"/>
          <w:sz w:val="32"/>
          <w:szCs w:val="32"/>
          <w:highlight w:val="none"/>
        </w:rPr>
        <w:t>提供总导演、执行导演、制片人、摄影师、灯光师等专业团队服务。</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3.主题宣传片特效包装。“AI赋能千行百业超级联赛联赛”主题宣传片特效包装服务，需有高级CG师、高级AE制作师对宣传片进行特效处理。</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4.主题宣传片后期剪辑制作。“AI赋能千行百业超级联赛联赛”主题宣传片后期剪辑制作服务，需有资深剪辑师对宣传片进行后期剪辑制作。</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5.主题宣传片后期调色合成。“AI赋能千行百业超级联赛联赛”主题宣传片后期调色合成服务，需有高级调色师对宣传片进行后期处理。</w:t>
      </w:r>
    </w:p>
    <w:p>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（二）服务要求</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交付</w:t>
      </w:r>
      <w:r>
        <w:rPr>
          <w:rFonts w:hint="eastAsia" w:ascii="方正仿宋_GBK" w:hAnsi="方正仿宋_GBK" w:eastAsia="方正仿宋_GBK" w:cs="方正仿宋_GBK"/>
          <w:sz w:val="32"/>
          <w:szCs w:val="32"/>
          <w:highlight w:val="none"/>
          <w:lang w:val="en-US" w:eastAsia="zh-CN"/>
        </w:rPr>
        <w:t>成果</w:t>
      </w:r>
      <w:r>
        <w:rPr>
          <w:rFonts w:hint="eastAsia" w:ascii="方正仿宋_GBK" w:hAnsi="方正仿宋_GBK" w:eastAsia="方正仿宋_GBK" w:cs="方正仿宋_GBK"/>
          <w:sz w:val="32"/>
          <w:szCs w:val="32"/>
          <w:highlight w:val="none"/>
        </w:rPr>
        <w:t>要求：交付3分钟左右主题宣传片1部，服务方应于成品交付时，同步提供全部原始拍摄素材的可编辑文件。文件须保留完整元数据、分层结构及分轨设计，确保委托方可基于后期宣传需求进行无损编辑、调色、字幕替换等操作。</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投入要求：提供“AI赋能千行百业超级联赛”主题宣传片制作工作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协助制定宣传片制作执行方案，按照进度计划完成各项工作。</w:t>
      </w:r>
    </w:p>
    <w:p>
      <w:pPr>
        <w:spacing w:line="56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3.项目文档要求：宣传片制作方案（含脚本策划、前期拍摄等执行细案）、结案报告等。</w:t>
      </w:r>
    </w:p>
    <w:p>
      <w:pPr>
        <w:spacing w:line="560" w:lineRule="exact"/>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八、付款方式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1.合同签订且采购人财政资金到位后10日内，由采购人支付成交供应商合同总金额的45%。</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2.供应商向采购人交付成果后</w:t>
      </w:r>
      <w:r>
        <w:rPr>
          <w:rFonts w:hint="eastAsia" w:ascii="仿宋_GB2312" w:hAnsi="仿宋_GB2312" w:eastAsia="仿宋_GB2312" w:cs="仿宋_GB2312"/>
          <w:sz w:val="32"/>
          <w:szCs w:val="32"/>
        </w:rPr>
        <w:t>并经</w:t>
      </w:r>
      <w:r>
        <w:rPr>
          <w:rFonts w:hint="eastAsia" w:ascii="Times New Roman" w:hAnsi="Times New Roman" w:eastAsia="仿宋" w:cs="Times New Roman"/>
          <w:sz w:val="32"/>
          <w:szCs w:val="40"/>
          <w:lang w:val="en-US" w:eastAsia="zh-CN"/>
        </w:rPr>
        <w:t>采购人</w:t>
      </w:r>
      <w:r>
        <w:rPr>
          <w:rFonts w:hint="eastAsia" w:ascii="仿宋_GB2312" w:hAnsi="仿宋_GB2312" w:eastAsia="仿宋_GB2312" w:cs="仿宋_GB2312"/>
          <w:sz w:val="32"/>
          <w:szCs w:val="32"/>
        </w:rPr>
        <w:t>验收合格后</w:t>
      </w:r>
      <w:r>
        <w:rPr>
          <w:rFonts w:hint="eastAsia" w:ascii="Times New Roman" w:hAnsi="Times New Roman" w:eastAsia="仿宋" w:cs="Times New Roman"/>
          <w:sz w:val="32"/>
          <w:szCs w:val="40"/>
          <w:lang w:val="en-US" w:eastAsia="zh-CN"/>
        </w:rPr>
        <w:t>10日内，采购人支付成交供应商合同金额的55%。</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2"/>
          <w:szCs w:val="40"/>
          <w:lang w:val="en-US" w:eastAsia="zh-CN"/>
        </w:rPr>
        <w:t>3.每次付款前5日，供应商必须提供相应数额的增值税发票及请款函。</w:t>
      </w:r>
    </w:p>
    <w:p>
      <w:pPr>
        <w:spacing w:line="560" w:lineRule="exact"/>
        <w:jc w:val="center"/>
        <w:rPr>
          <w:rFonts w:hint="eastAsia" w:ascii="Times New Roman" w:hAnsi="Times New Roman" w:eastAsia="方正小标宋简体" w:cs="Times New Roman"/>
          <w:sz w:val="44"/>
          <w:szCs w:val="52"/>
          <w:lang w:eastAsia="zh-CN"/>
        </w:rPr>
      </w:pPr>
      <w:r>
        <w:rPr>
          <w:rFonts w:hint="eastAsia" w:ascii="Times New Roman" w:hAnsi="Times New Roman" w:eastAsia="方正小标宋简体" w:cs="Times New Roman"/>
          <w:sz w:val="44"/>
          <w:szCs w:val="52"/>
          <w:lang w:eastAsia="zh-CN"/>
        </w:rPr>
        <w:t>“AI赋能千行百业超级联赛”主题宣传片</w:t>
      </w:r>
    </w:p>
    <w:p>
      <w:pPr>
        <w:spacing w:line="560" w:lineRule="exact"/>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lang w:eastAsia="zh-CN"/>
        </w:rPr>
        <w:t>制作服务采购评分标准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480" w:firstLineChars="200"/>
        <w:jc w:val="left"/>
        <w:textAlignment w:val="auto"/>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eastAsia" w:ascii="黑体" w:hAnsi="黑体" w:eastAsia="黑体" w:cs="黑体"/>
          <w:lang w:eastAsia="zh-CN"/>
        </w:rPr>
      </w:pPr>
      <w:r>
        <w:rPr>
          <w:rFonts w:hint="eastAsia" w:ascii="黑体" w:hAnsi="黑体" w:eastAsia="黑体" w:cs="黑体"/>
          <w:sz w:val="32"/>
          <w:szCs w:val="40"/>
        </w:rPr>
        <w:t>一、评审</w:t>
      </w:r>
      <w:r>
        <w:rPr>
          <w:rFonts w:hint="eastAsia" w:ascii="黑体" w:hAnsi="黑体" w:eastAsia="黑体" w:cs="黑体"/>
          <w:sz w:val="32"/>
          <w:szCs w:val="40"/>
          <w:lang w:val="en-US" w:eastAsia="zh-CN"/>
        </w:rPr>
        <w:t>依据</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评</w:t>
      </w:r>
      <w:r>
        <w:rPr>
          <w:rFonts w:hint="eastAsia" w:ascii="仿宋_GB2312" w:hAnsi="仿宋_GB2312" w:eastAsia="仿宋_GB2312" w:cs="仿宋_GB2312"/>
          <w:kern w:val="0"/>
          <w:sz w:val="32"/>
          <w:szCs w:val="40"/>
          <w:lang w:val="en-US" w:eastAsia="zh-CN" w:bidi="ar"/>
        </w:rPr>
        <w:t>审</w:t>
      </w:r>
      <w:r>
        <w:rPr>
          <w:rFonts w:hint="eastAsia" w:ascii="仿宋_GB2312" w:hAnsi="仿宋_GB2312" w:eastAsia="仿宋_GB2312" w:cs="仿宋_GB2312"/>
          <w:color w:val="000000"/>
          <w:kern w:val="0"/>
          <w:sz w:val="32"/>
          <w:szCs w:val="40"/>
          <w:lang w:val="en-US" w:eastAsia="zh-CN" w:bidi="ar"/>
        </w:rPr>
        <w:t>小组以采购文件为依据，对响应文件进行评审，对</w:t>
      </w:r>
      <w:r>
        <w:rPr>
          <w:rFonts w:hint="eastAsia" w:ascii="仿宋_GB2312" w:hAnsi="仿宋_GB2312" w:eastAsia="仿宋_GB2312" w:cs="仿宋_GB2312"/>
          <w:kern w:val="0"/>
          <w:sz w:val="32"/>
          <w:szCs w:val="40"/>
          <w:lang w:val="en-US" w:eastAsia="zh-CN" w:bidi="ar"/>
        </w:rPr>
        <w:t>供应商</w:t>
      </w:r>
      <w:r>
        <w:rPr>
          <w:rFonts w:hint="eastAsia" w:ascii="仿宋_GB2312" w:hAnsi="仿宋_GB2312" w:eastAsia="仿宋_GB2312" w:cs="仿宋_GB2312"/>
          <w:color w:val="000000"/>
          <w:kern w:val="0"/>
          <w:sz w:val="32"/>
          <w:szCs w:val="40"/>
          <w:lang w:val="en-US" w:eastAsia="zh-CN" w:bidi="ar"/>
        </w:rPr>
        <w:t>的响应报价、技术和服务方案及信誉业绩等三部分内容按百分制打分。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eastAsia" w:ascii="黑体" w:hAnsi="黑体" w:eastAsia="黑体" w:cs="黑体"/>
          <w:sz w:val="32"/>
          <w:szCs w:val="40"/>
        </w:rPr>
      </w:pPr>
      <w:r>
        <w:rPr>
          <w:rFonts w:hint="eastAsia" w:ascii="黑体" w:hAnsi="黑体" w:eastAsia="黑体" w:cs="黑体"/>
          <w:sz w:val="32"/>
          <w:szCs w:val="40"/>
        </w:rPr>
        <w:t>二、评审方法</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40"/>
        </w:rPr>
        <w:t>评审小组会对</w:t>
      </w:r>
      <w:r>
        <w:rPr>
          <w:rFonts w:hint="eastAsia" w:ascii="仿宋_GB2312" w:hAnsi="仿宋_GB2312" w:eastAsia="仿宋_GB2312" w:cs="仿宋_GB2312"/>
          <w:sz w:val="32"/>
          <w:szCs w:val="40"/>
          <w:lang w:val="en-US" w:eastAsia="zh-CN"/>
        </w:rPr>
        <w:t>供应商</w:t>
      </w:r>
      <w:r>
        <w:rPr>
          <w:rFonts w:hint="eastAsia" w:ascii="仿宋_GB2312" w:hAnsi="仿宋_GB2312" w:eastAsia="仿宋_GB2312" w:cs="仿宋_GB2312"/>
          <w:sz w:val="32"/>
          <w:szCs w:val="40"/>
        </w:rPr>
        <w:t>的响应文件资格性进行检查，对合格的响应文件，采用百分制综合评分法进行评审。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eastAsia" w:ascii="黑体" w:hAnsi="黑体" w:eastAsia="黑体" w:cs="黑体"/>
          <w:sz w:val="32"/>
          <w:szCs w:val="40"/>
        </w:rPr>
      </w:pPr>
      <w:r>
        <w:rPr>
          <w:rFonts w:hint="eastAsia" w:ascii="黑体" w:hAnsi="黑体" w:eastAsia="黑体" w:cs="黑体"/>
          <w:sz w:val="32"/>
          <w:szCs w:val="40"/>
        </w:rPr>
        <w:t>三、评分细则（按四舍五入取至百分位）</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eastAsia" w:ascii="仿宋_GB2312" w:hAnsi="仿宋_GB2312" w:eastAsia="仿宋_GB2312" w:cs="仿宋_GB2312"/>
          <w:b/>
          <w:bCs/>
          <w:color w:val="auto"/>
          <w:sz w:val="32"/>
          <w:szCs w:val="40"/>
          <w:highlight w:val="none"/>
        </w:rPr>
      </w:pPr>
      <w:r>
        <w:rPr>
          <w:rFonts w:hint="eastAsia" w:ascii="Times New Roman" w:hAnsi="Times New Roman" w:eastAsia="仿宋" w:cs="Times New Roman"/>
          <w:b/>
          <w:bCs/>
          <w:color w:val="auto"/>
          <w:sz w:val="32"/>
          <w:szCs w:val="40"/>
          <w:highlight w:val="none"/>
          <w:lang w:bidi="ar"/>
        </w:rPr>
        <w:t>1.</w:t>
      </w:r>
      <w:r>
        <w:rPr>
          <w:rFonts w:hint="eastAsia" w:ascii="仿宋_GB2312" w:hAnsi="仿宋_GB2312" w:eastAsia="仿宋_GB2312" w:cs="仿宋_GB2312"/>
          <w:b/>
          <w:bCs/>
          <w:color w:val="auto"/>
          <w:sz w:val="32"/>
          <w:szCs w:val="40"/>
          <w:highlight w:val="none"/>
        </w:rPr>
        <w:t>价格分……………………………………………</w:t>
      </w:r>
      <w:r>
        <w:rPr>
          <w:rFonts w:hint="eastAsia" w:ascii="Times New Roman" w:hAnsi="Times New Roman" w:eastAsia="仿宋" w:cs="Times New Roman"/>
          <w:b/>
          <w:bCs/>
          <w:color w:val="auto"/>
          <w:sz w:val="32"/>
          <w:szCs w:val="40"/>
          <w:highlight w:val="none"/>
          <w:lang w:val="en-US" w:eastAsia="zh-CN" w:bidi="ar"/>
        </w:rPr>
        <w:t>3</w:t>
      </w:r>
      <w:r>
        <w:rPr>
          <w:rFonts w:hint="eastAsia" w:ascii="Times New Roman" w:hAnsi="Times New Roman" w:eastAsia="仿宋" w:cs="Times New Roman"/>
          <w:b/>
          <w:bCs/>
          <w:color w:val="auto"/>
          <w:sz w:val="32"/>
          <w:szCs w:val="40"/>
          <w:highlight w:val="none"/>
          <w:lang w:bidi="ar"/>
        </w:rPr>
        <w:t>0</w:t>
      </w:r>
      <w:r>
        <w:rPr>
          <w:rFonts w:hint="eastAsia" w:ascii="仿宋_GB2312" w:hAnsi="仿宋_GB2312" w:eastAsia="仿宋_GB2312" w:cs="仿宋_GB2312"/>
          <w:b/>
          <w:bCs/>
          <w:color w:val="auto"/>
          <w:sz w:val="32"/>
          <w:szCs w:val="40"/>
          <w:highlight w:val="none"/>
        </w:rPr>
        <w:t>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color w:val="auto"/>
          <w:kern w:val="0"/>
          <w:sz w:val="32"/>
          <w:szCs w:val="40"/>
          <w:highlight w:val="none"/>
          <w:lang w:val="en-US" w:eastAsia="zh-CN" w:bidi="ar"/>
        </w:rPr>
      </w:pPr>
      <w:r>
        <w:rPr>
          <w:rFonts w:hint="eastAsia" w:ascii="仿宋_GB2312" w:hAnsi="仿宋_GB2312" w:eastAsia="仿宋_GB2312" w:cs="仿宋_GB2312"/>
          <w:color w:val="auto"/>
          <w:kern w:val="0"/>
          <w:sz w:val="32"/>
          <w:szCs w:val="40"/>
          <w:highlight w:val="none"/>
          <w:lang w:val="en-US" w:eastAsia="zh-CN" w:bidi="ar"/>
        </w:rPr>
        <w:t>（1）符合《政府采购促进中小企业发展管理办法》（财库〔2020〕46号）和《财政部关于进一步加大政府采购支持中小企业力度的通知》（财库〔2022〕19号）的规定条件且按财库〔2020〕46号办法中规定的格式提供了《中小企业声明函》的小型和微型企业，对报价给予 20%的扣除，扣除后的价格为评标价，即评标价=报价×（1%-20%）；</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color w:val="auto"/>
          <w:sz w:val="32"/>
          <w:szCs w:val="40"/>
          <w:highlight w:val="none"/>
          <w:lang w:bidi="ar"/>
        </w:rPr>
      </w:pPr>
      <w:r>
        <w:rPr>
          <w:rFonts w:hint="eastAsia" w:ascii="仿宋_GB2312" w:hAnsi="仿宋_GB2312" w:eastAsia="仿宋_GB2312" w:cs="仿宋_GB2312"/>
          <w:color w:val="auto"/>
          <w:kern w:val="0"/>
          <w:sz w:val="32"/>
          <w:szCs w:val="40"/>
          <w:highlight w:val="none"/>
          <w:lang w:val="en-US" w:eastAsia="zh-CN" w:bidi="ar"/>
        </w:rPr>
        <w:t xml:space="preserve">按《财政部、司法部关于政府采购支持监狱企业发展有关问题的通知》(财库〔2014〕68号)认定为监狱企业的，在政府采购活动中，监狱企业视同小型、微型企业。供应商应当提供由省级以上监狱管理局、戒毒管理局（含新疆生产建设兵团）出具的产品生产企业或服务提供企业属于监狱企业的证明文件，不再提供《中小企业声明函》。监狱企业属于小型、微型企业的，不重复享受政策。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color w:val="auto"/>
          <w:kern w:val="0"/>
          <w:sz w:val="32"/>
          <w:szCs w:val="40"/>
          <w:highlight w:val="none"/>
          <w:lang w:val="en-US" w:eastAsia="zh-CN" w:bidi="ar"/>
        </w:rPr>
      </w:pPr>
      <w:r>
        <w:rPr>
          <w:rFonts w:hint="eastAsia" w:ascii="仿宋_GB2312" w:hAnsi="仿宋_GB2312" w:eastAsia="仿宋_GB2312" w:cs="仿宋_GB2312"/>
          <w:color w:val="auto"/>
          <w:kern w:val="0"/>
          <w:sz w:val="32"/>
          <w:szCs w:val="40"/>
          <w:highlight w:val="none"/>
          <w:lang w:val="en-US" w:eastAsia="zh-CN" w:bidi="ar"/>
        </w:rPr>
        <w:t>按《关于促进残疾人就业政府采购政策的通知》（财库〔2017〕141号）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color w:val="auto"/>
          <w:kern w:val="0"/>
          <w:sz w:val="32"/>
          <w:szCs w:val="40"/>
          <w:highlight w:val="none"/>
          <w:lang w:val="en-US" w:eastAsia="zh-CN" w:bidi="ar"/>
        </w:rPr>
      </w:pPr>
      <w:r>
        <w:rPr>
          <w:rFonts w:hint="eastAsia" w:ascii="仿宋_GB2312" w:hAnsi="仿宋_GB2312" w:eastAsia="仿宋_GB2312" w:cs="仿宋_GB2312"/>
          <w:color w:val="auto"/>
          <w:kern w:val="0"/>
          <w:sz w:val="32"/>
          <w:szCs w:val="40"/>
          <w:highlight w:val="none"/>
          <w:lang w:val="en-US" w:eastAsia="zh-CN" w:bidi="ar"/>
        </w:rPr>
        <w:t xml:space="preserve">除上述情况外，评标价=报价。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color w:val="auto"/>
          <w:sz w:val="32"/>
          <w:szCs w:val="40"/>
          <w:highlight w:val="none"/>
          <w:lang w:eastAsia="zh-CN" w:bidi="ar"/>
        </w:rPr>
      </w:pPr>
      <w:r>
        <w:rPr>
          <w:rFonts w:hint="eastAsia" w:ascii="仿宋_GB2312" w:hAnsi="仿宋_GB2312" w:eastAsia="仿宋_GB2312" w:cs="仿宋_GB2312"/>
          <w:color w:val="auto"/>
          <w:kern w:val="0"/>
          <w:sz w:val="32"/>
          <w:szCs w:val="40"/>
          <w:highlight w:val="none"/>
          <w:lang w:val="en-US" w:eastAsia="zh-CN" w:bidi="ar"/>
        </w:rPr>
        <w:t>（2）</w:t>
      </w:r>
      <w:r>
        <w:rPr>
          <w:rFonts w:hint="eastAsia" w:ascii="仿宋_GB2312" w:hAnsi="仿宋_GB2312" w:eastAsia="仿宋_GB2312" w:cs="仿宋_GB2312"/>
          <w:color w:val="auto"/>
          <w:sz w:val="32"/>
          <w:szCs w:val="40"/>
          <w:highlight w:val="none"/>
          <w:lang w:bidi="ar"/>
        </w:rPr>
        <w:t>以满足</w:t>
      </w:r>
      <w:r>
        <w:rPr>
          <w:rFonts w:hint="eastAsia" w:ascii="仿宋_GB2312" w:hAnsi="仿宋_GB2312" w:eastAsia="仿宋_GB2312" w:cs="仿宋_GB2312"/>
          <w:color w:val="auto"/>
          <w:sz w:val="32"/>
          <w:szCs w:val="40"/>
          <w:highlight w:val="none"/>
          <w:lang w:val="en-US" w:eastAsia="zh-CN" w:bidi="ar"/>
        </w:rPr>
        <w:t>采购文件</w:t>
      </w:r>
      <w:r>
        <w:rPr>
          <w:rFonts w:hint="eastAsia" w:ascii="仿宋_GB2312" w:hAnsi="仿宋_GB2312" w:eastAsia="仿宋_GB2312" w:cs="仿宋_GB2312"/>
          <w:color w:val="auto"/>
          <w:sz w:val="32"/>
          <w:szCs w:val="40"/>
          <w:highlight w:val="none"/>
          <w:lang w:bidi="ar"/>
        </w:rPr>
        <w:t>要求且评审价最低的</w:t>
      </w:r>
      <w:r>
        <w:rPr>
          <w:rFonts w:hint="eastAsia" w:ascii="仿宋_GB2312" w:hAnsi="仿宋_GB2312" w:eastAsia="仿宋_GB2312" w:cs="仿宋_GB2312"/>
          <w:color w:val="auto"/>
          <w:sz w:val="32"/>
          <w:szCs w:val="40"/>
          <w:highlight w:val="none"/>
          <w:lang w:val="en-US" w:eastAsia="zh-CN" w:bidi="ar"/>
        </w:rPr>
        <w:t>供应商</w:t>
      </w:r>
      <w:r>
        <w:rPr>
          <w:rFonts w:hint="eastAsia" w:ascii="仿宋_GB2312" w:hAnsi="仿宋_GB2312" w:eastAsia="仿宋_GB2312" w:cs="仿宋_GB2312"/>
          <w:color w:val="auto"/>
          <w:sz w:val="32"/>
          <w:szCs w:val="40"/>
          <w:highlight w:val="none"/>
          <w:lang w:bidi="ar"/>
        </w:rPr>
        <w:t>的评审价为基准价，其价格分为</w:t>
      </w:r>
      <w:r>
        <w:rPr>
          <w:rFonts w:hint="eastAsia" w:ascii="仿宋_GB2312" w:hAnsi="仿宋_GB2312" w:eastAsia="仿宋_GB2312" w:cs="仿宋_GB2312"/>
          <w:color w:val="auto"/>
          <w:sz w:val="32"/>
          <w:szCs w:val="40"/>
          <w:highlight w:val="none"/>
          <w:lang w:val="en-US" w:eastAsia="zh-CN" w:bidi="ar"/>
        </w:rPr>
        <w:t>30分</w:t>
      </w:r>
      <w:r>
        <w:rPr>
          <w:rFonts w:hint="eastAsia" w:ascii="仿宋_GB2312" w:hAnsi="仿宋_GB2312" w:eastAsia="仿宋_GB2312" w:cs="仿宋_GB2312"/>
          <w:color w:val="auto"/>
          <w:sz w:val="32"/>
          <w:szCs w:val="40"/>
          <w:highlight w:val="none"/>
          <w:lang w:bidi="ar"/>
        </w:rPr>
        <w:t>。其他</w:t>
      </w:r>
      <w:r>
        <w:rPr>
          <w:rFonts w:hint="eastAsia" w:ascii="仿宋_GB2312" w:hAnsi="仿宋_GB2312" w:eastAsia="仿宋_GB2312" w:cs="仿宋_GB2312"/>
          <w:color w:val="auto"/>
          <w:sz w:val="32"/>
          <w:szCs w:val="40"/>
          <w:highlight w:val="none"/>
          <w:lang w:val="en-US" w:eastAsia="zh-CN" w:bidi="ar"/>
        </w:rPr>
        <w:t>供应商</w:t>
      </w:r>
      <w:r>
        <w:rPr>
          <w:rFonts w:hint="eastAsia" w:ascii="仿宋_GB2312" w:hAnsi="仿宋_GB2312" w:eastAsia="仿宋_GB2312" w:cs="仿宋_GB2312"/>
          <w:color w:val="auto"/>
          <w:sz w:val="32"/>
          <w:szCs w:val="40"/>
          <w:highlight w:val="none"/>
          <w:lang w:bidi="ar"/>
        </w:rPr>
        <w:t>的价格分统一按照下列公式计算:</w:t>
      </w:r>
      <w:r>
        <w:rPr>
          <w:rFonts w:hint="eastAsia" w:ascii="仿宋_GB2312" w:hAnsi="仿宋_GB2312" w:eastAsia="仿宋_GB2312" w:cs="仿宋_GB2312"/>
          <w:color w:val="auto"/>
          <w:sz w:val="32"/>
          <w:szCs w:val="40"/>
          <w:highlight w:val="none"/>
          <w:lang w:eastAsia="zh-CN" w:bidi="ar"/>
        </w:rPr>
        <w:t>磋商报价得分=(磋商基准价/最后磋商报价)</w:t>
      </w:r>
      <w:r>
        <w:rPr>
          <w:rFonts w:hint="eastAsia" w:ascii="仿宋_GB2312" w:hAnsi="仿宋_GB2312" w:eastAsia="仿宋_GB2312" w:cs="仿宋_GB2312"/>
          <w:color w:val="auto"/>
          <w:sz w:val="32"/>
          <w:szCs w:val="40"/>
          <w:highlight w:val="none"/>
          <w:lang w:val="en-US" w:eastAsia="zh-CN" w:bidi="ar"/>
        </w:rPr>
        <w:t>×30分。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0" w:firstLineChars="0"/>
        <w:jc w:val="left"/>
        <w:textAlignment w:val="auto"/>
        <w:rPr>
          <w:rFonts w:hint="eastAsia" w:ascii="仿宋_GB2312" w:hAnsi="仿宋_GB2312" w:eastAsia="仿宋_GB2312" w:cs="仿宋_GB2312"/>
          <w:color w:val="auto"/>
          <w:sz w:val="32"/>
          <w:szCs w:val="40"/>
          <w:highlight w:val="none"/>
          <w:lang w:bidi="ar"/>
        </w:rPr>
      </w:pPr>
      <w:r>
        <w:rPr>
          <w:rFonts w:hint="eastAsia" w:ascii="仿宋_GB2312" w:hAnsi="仿宋_GB2312" w:eastAsia="仿宋_GB2312" w:cs="仿宋_GB2312"/>
          <w:color w:val="auto"/>
          <w:sz w:val="32"/>
          <w:szCs w:val="40"/>
          <w:highlight w:val="none"/>
          <w:lang w:bidi="ar"/>
        </w:rPr>
        <w:t>百分数按四舍五入原则评审，保留小数点后两位。</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40"/>
          <w:highlight w:val="none"/>
          <w:lang w:eastAsia="zh-CN" w:bidi="ar"/>
        </w:rPr>
        <w:t>（</w:t>
      </w:r>
      <w:r>
        <w:rPr>
          <w:rFonts w:hint="eastAsia" w:ascii="仿宋_GB2312" w:hAnsi="仿宋_GB2312" w:eastAsia="仿宋_GB2312" w:cs="仿宋_GB2312"/>
          <w:color w:val="auto"/>
          <w:sz w:val="32"/>
          <w:szCs w:val="40"/>
          <w:highlight w:val="none"/>
          <w:lang w:val="en-US" w:eastAsia="zh-CN" w:bidi="ar"/>
        </w:rPr>
        <w:t>3）</w:t>
      </w:r>
      <w:r>
        <w:rPr>
          <w:rFonts w:hint="eastAsia" w:ascii="仿宋_GB2312" w:hAnsi="仿宋_GB2312" w:eastAsia="仿宋_GB2312" w:cs="仿宋_GB2312"/>
          <w:color w:val="auto"/>
          <w:sz w:val="32"/>
          <w:szCs w:val="40"/>
          <w:highlight w:val="none"/>
          <w:lang w:bidi="ar"/>
        </w:rPr>
        <w:t>最终成交</w:t>
      </w:r>
      <w:r>
        <w:rPr>
          <w:rFonts w:hint="eastAsia" w:ascii="仿宋_GB2312" w:hAnsi="仿宋_GB2312" w:eastAsia="仿宋_GB2312" w:cs="仿宋_GB2312"/>
          <w:color w:val="auto"/>
          <w:sz w:val="32"/>
          <w:szCs w:val="40"/>
          <w:highlight w:val="none"/>
          <w:lang w:eastAsia="zh-CN" w:bidi="ar"/>
        </w:rPr>
        <w:t>供应商</w:t>
      </w:r>
      <w:r>
        <w:rPr>
          <w:rFonts w:hint="eastAsia" w:ascii="仿宋_GB2312" w:hAnsi="仿宋_GB2312" w:eastAsia="仿宋_GB2312" w:cs="仿宋_GB2312"/>
          <w:color w:val="auto"/>
          <w:sz w:val="32"/>
          <w:szCs w:val="40"/>
          <w:highlight w:val="none"/>
          <w:lang w:bidi="ar"/>
        </w:rPr>
        <w:t>的成交金额等于最后报价</w:t>
      </w:r>
      <w:r>
        <w:rPr>
          <w:rFonts w:hint="eastAsia" w:ascii="仿宋_GB2312" w:hAnsi="仿宋_GB2312" w:eastAsia="仿宋_GB2312" w:cs="仿宋_GB2312"/>
          <w:color w:val="auto"/>
          <w:sz w:val="32"/>
          <w:szCs w:val="40"/>
          <w:highlight w:val="none"/>
          <w:lang w:eastAsia="zh-CN" w:bidi="ar"/>
        </w:rPr>
        <w:t>（</w:t>
      </w:r>
      <w:r>
        <w:rPr>
          <w:rFonts w:hint="eastAsia" w:ascii="仿宋_GB2312" w:hAnsi="仿宋_GB2312" w:eastAsia="仿宋_GB2312" w:cs="仿宋_GB2312"/>
          <w:color w:val="auto"/>
          <w:sz w:val="32"/>
          <w:szCs w:val="40"/>
          <w:highlight w:val="none"/>
          <w:lang w:bidi="ar"/>
        </w:rPr>
        <w:t>如有修正，以确认修正后的最后报价为准</w:t>
      </w:r>
      <w:r>
        <w:rPr>
          <w:rFonts w:hint="eastAsia" w:ascii="仿宋_GB2312" w:hAnsi="仿宋_GB2312" w:eastAsia="仿宋_GB2312" w:cs="仿宋_GB2312"/>
          <w:color w:val="auto"/>
          <w:sz w:val="32"/>
          <w:szCs w:val="40"/>
          <w:highlight w:val="none"/>
          <w:lang w:eastAsia="zh-CN" w:bidi="ar"/>
        </w:rPr>
        <w:t>）</w:t>
      </w:r>
      <w:r>
        <w:rPr>
          <w:rFonts w:hint="eastAsia" w:ascii="仿宋_GB2312" w:hAnsi="仿宋_GB2312" w:eastAsia="仿宋_GB2312" w:cs="仿宋_GB2312"/>
          <w:color w:val="auto"/>
          <w:sz w:val="32"/>
          <w:szCs w:val="40"/>
          <w:highlight w:val="none"/>
          <w:lang w:bidi="ar"/>
        </w:rPr>
        <w:t>。</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 w:cs="Times New Roman"/>
          <w:b/>
          <w:bCs/>
          <w:color w:val="auto"/>
          <w:sz w:val="32"/>
          <w:szCs w:val="40"/>
          <w:highlight w:val="none"/>
          <w:lang w:val="en-US" w:eastAsia="zh-CN" w:bidi="ar"/>
        </w:rPr>
      </w:pPr>
      <w:r>
        <w:rPr>
          <w:rFonts w:hint="eastAsia" w:ascii="Times New Roman" w:hAnsi="Times New Roman" w:eastAsia="仿宋" w:cs="Times New Roman"/>
          <w:b/>
          <w:bCs/>
          <w:color w:val="auto"/>
          <w:sz w:val="32"/>
          <w:szCs w:val="40"/>
          <w:highlight w:val="none"/>
          <w:lang w:bidi="ar"/>
        </w:rPr>
        <w:t>2.</w:t>
      </w:r>
      <w:r>
        <w:rPr>
          <w:rFonts w:hint="eastAsia" w:ascii="仿宋_GB2312" w:hAnsi="仿宋_GB2312" w:eastAsia="仿宋_GB2312" w:cs="仿宋_GB2312"/>
          <w:b/>
          <w:bCs/>
          <w:color w:val="auto"/>
          <w:sz w:val="32"/>
          <w:szCs w:val="40"/>
          <w:highlight w:val="none"/>
        </w:rPr>
        <w:t>技术分</w:t>
      </w:r>
      <w:r>
        <w:rPr>
          <w:rFonts w:hint="eastAsia" w:ascii="Times New Roman" w:hAnsi="Times New Roman" w:eastAsia="仿宋" w:cs="Times New Roman"/>
          <w:b/>
          <w:bCs/>
          <w:color w:val="auto"/>
          <w:sz w:val="32"/>
          <w:szCs w:val="40"/>
          <w:highlight w:val="none"/>
          <w:lang w:bidi="ar"/>
        </w:rPr>
        <w:t>……………………………………………</w:t>
      </w:r>
      <w:r>
        <w:rPr>
          <w:rFonts w:hint="eastAsia" w:ascii="Times New Roman" w:hAnsi="Times New Roman" w:eastAsia="仿宋" w:cs="Times New Roman"/>
          <w:b/>
          <w:bCs/>
          <w:color w:val="auto"/>
          <w:sz w:val="32"/>
          <w:szCs w:val="40"/>
          <w:highlight w:val="none"/>
          <w:lang w:val="en-US" w:eastAsia="zh-CN" w:bidi="ar"/>
        </w:rPr>
        <w:t>45分</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 w:cs="Times New Roman"/>
          <w:b/>
          <w:bCs/>
          <w:sz w:val="32"/>
          <w:szCs w:val="40"/>
          <w:highlight w:val="none"/>
          <w:lang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1）</w:t>
      </w:r>
      <w:r>
        <w:rPr>
          <w:rFonts w:hint="eastAsia" w:ascii="Times New Roman" w:hAnsi="Times New Roman" w:eastAsia="仿宋" w:cs="Times New Roman"/>
          <w:b/>
          <w:bCs/>
          <w:sz w:val="32"/>
          <w:szCs w:val="40"/>
          <w:highlight w:val="none"/>
          <w:lang w:bidi="ar"/>
        </w:rPr>
        <w:t>综合实力分（满分</w:t>
      </w:r>
      <w:r>
        <w:rPr>
          <w:rFonts w:hint="eastAsia" w:ascii="Times New Roman" w:hAnsi="Times New Roman" w:eastAsia="仿宋" w:cs="Times New Roman"/>
          <w:b/>
          <w:bCs/>
          <w:sz w:val="32"/>
          <w:szCs w:val="40"/>
          <w:highlight w:val="none"/>
          <w:lang w:val="en-US" w:eastAsia="zh-CN" w:bidi="ar"/>
        </w:rPr>
        <w:t>15</w:t>
      </w:r>
      <w:r>
        <w:rPr>
          <w:rFonts w:hint="eastAsia" w:ascii="Times New Roman" w:hAnsi="Times New Roman" w:eastAsia="仿宋" w:cs="Times New Roman"/>
          <w:b/>
          <w:bCs/>
          <w:sz w:val="32"/>
          <w:szCs w:val="40"/>
          <w:highlight w:val="none"/>
          <w:lang w:bidi="ar"/>
        </w:rPr>
        <w:t>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40"/>
          <w:highlight w:val="none"/>
          <w:lang w:eastAsia="zh-CN" w:bidi="ar"/>
        </w:rPr>
      </w:pPr>
      <w:r>
        <w:rPr>
          <w:rFonts w:hint="eastAsia" w:ascii="仿宋_GB2312" w:hAnsi="仿宋_GB2312" w:eastAsia="仿宋_GB2312" w:cs="仿宋_GB2312"/>
          <w:b w:val="0"/>
          <w:bCs w:val="0"/>
          <w:sz w:val="32"/>
          <w:szCs w:val="40"/>
          <w:highlight w:val="none"/>
          <w:lang w:eastAsia="zh-CN" w:bidi="ar"/>
        </w:rPr>
        <w:t>一档（</w:t>
      </w:r>
      <w:r>
        <w:rPr>
          <w:rFonts w:hint="eastAsia" w:ascii="仿宋_GB2312" w:hAnsi="仿宋_GB2312" w:eastAsia="仿宋_GB2312" w:cs="仿宋_GB2312"/>
          <w:b w:val="0"/>
          <w:bCs w:val="0"/>
          <w:sz w:val="32"/>
          <w:szCs w:val="40"/>
          <w:highlight w:val="none"/>
          <w:lang w:val="en-US" w:eastAsia="zh-CN" w:bidi="ar"/>
        </w:rPr>
        <w:t>5</w:t>
      </w:r>
      <w:r>
        <w:rPr>
          <w:rFonts w:hint="eastAsia" w:ascii="仿宋_GB2312" w:hAnsi="仿宋_GB2312" w:eastAsia="仿宋_GB2312" w:cs="仿宋_GB2312"/>
          <w:b w:val="0"/>
          <w:bCs w:val="0"/>
          <w:sz w:val="32"/>
          <w:szCs w:val="40"/>
          <w:highlight w:val="none"/>
          <w:lang w:eastAsia="zh-CN" w:bidi="ar"/>
        </w:rPr>
        <w:t>分）:供应商近3年无宣传片拍摄制作经验，仅具备普通摄像机、普通照明灯光、基础录音麦、普通剪辑电脑等基础设备（需附设备清单及照片或软件截图证明），无相关业务制度；</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40"/>
          <w:highlight w:val="none"/>
          <w:lang w:eastAsia="zh-CN" w:bidi="ar"/>
        </w:rPr>
      </w:pPr>
      <w:r>
        <w:rPr>
          <w:rFonts w:hint="eastAsia" w:ascii="仿宋_GB2312" w:hAnsi="仿宋_GB2312" w:eastAsia="仿宋_GB2312" w:cs="仿宋_GB2312"/>
          <w:b w:val="0"/>
          <w:bCs w:val="0"/>
          <w:sz w:val="32"/>
          <w:szCs w:val="40"/>
          <w:highlight w:val="none"/>
          <w:lang w:eastAsia="zh-CN" w:bidi="ar"/>
        </w:rPr>
        <w:t>二档（</w:t>
      </w:r>
      <w:r>
        <w:rPr>
          <w:rFonts w:hint="eastAsia" w:ascii="仿宋_GB2312" w:hAnsi="仿宋_GB2312" w:eastAsia="仿宋_GB2312" w:cs="仿宋_GB2312"/>
          <w:b w:val="0"/>
          <w:bCs w:val="0"/>
          <w:sz w:val="32"/>
          <w:szCs w:val="40"/>
          <w:highlight w:val="none"/>
          <w:lang w:val="en-US" w:eastAsia="zh-CN" w:bidi="ar"/>
        </w:rPr>
        <w:t>10</w:t>
      </w:r>
      <w:r>
        <w:rPr>
          <w:rFonts w:hint="eastAsia" w:ascii="仿宋_GB2312" w:hAnsi="仿宋_GB2312" w:eastAsia="仿宋_GB2312" w:cs="仿宋_GB2312"/>
          <w:b w:val="0"/>
          <w:bCs w:val="0"/>
          <w:sz w:val="32"/>
          <w:szCs w:val="40"/>
          <w:highlight w:val="none"/>
          <w:lang w:eastAsia="zh-CN" w:bidi="ar"/>
        </w:rPr>
        <w:t>分）:供应商近3年具有1～5次宣传片拍摄制作经验（需提供项目合同关键页复印件及项目实施过程中的工作照片），具备完成本项目所需的高清摄像机、灯光、录音机、普通剪辑电脑、调色软件等常规设备（需附设备清单及照片或软件截图证明），项目流程管理、质量把控制度较齐备，可以保证项目进行；</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40"/>
          <w:highlight w:val="none"/>
          <w:lang w:eastAsia="zh-CN" w:bidi="ar"/>
        </w:rPr>
      </w:pPr>
      <w:r>
        <w:rPr>
          <w:rFonts w:hint="eastAsia" w:ascii="仿宋_GB2312" w:hAnsi="仿宋_GB2312" w:eastAsia="仿宋_GB2312" w:cs="仿宋_GB2312"/>
          <w:b w:val="0"/>
          <w:bCs w:val="0"/>
          <w:sz w:val="32"/>
          <w:szCs w:val="40"/>
          <w:highlight w:val="none"/>
          <w:lang w:eastAsia="zh-CN" w:bidi="ar"/>
        </w:rPr>
        <w:t>三档（</w:t>
      </w:r>
      <w:r>
        <w:rPr>
          <w:rFonts w:hint="eastAsia" w:ascii="仿宋_GB2312" w:hAnsi="仿宋_GB2312" w:eastAsia="仿宋_GB2312" w:cs="仿宋_GB2312"/>
          <w:b w:val="0"/>
          <w:bCs w:val="0"/>
          <w:sz w:val="32"/>
          <w:szCs w:val="40"/>
          <w:highlight w:val="none"/>
          <w:lang w:val="en-US" w:eastAsia="zh-CN" w:bidi="ar"/>
        </w:rPr>
        <w:t>15</w:t>
      </w:r>
      <w:r>
        <w:rPr>
          <w:rFonts w:hint="eastAsia" w:ascii="仿宋_GB2312" w:hAnsi="仿宋_GB2312" w:eastAsia="仿宋_GB2312" w:cs="仿宋_GB2312"/>
          <w:b w:val="0"/>
          <w:bCs w:val="0"/>
          <w:sz w:val="32"/>
          <w:szCs w:val="40"/>
          <w:highlight w:val="none"/>
          <w:lang w:eastAsia="zh-CN" w:bidi="ar"/>
        </w:rPr>
        <w:t>分）:供应商近3年具有5次以上宣传片拍摄制作经验（需提供项目合同关键页复印件及项目实施过程中的工作照片），具备完成本项目所需的4K摄像机、专业灯光、录音设备、剪辑工作站、特效合成软件、调色系统等核心专业设备（需附设备清单及照片或软件截图证明），项目流程管理、质量控制标准、审核制度完善，能保障本次项目顺利进行。</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40"/>
          <w:highlight w:val="none"/>
          <w:lang w:eastAsia="zh-CN" w:bidi="ar"/>
        </w:rPr>
      </w:pPr>
      <w:r>
        <w:rPr>
          <w:rFonts w:hint="eastAsia" w:ascii="仿宋_GB2312" w:hAnsi="仿宋_GB2312" w:eastAsia="仿宋_GB2312" w:cs="仿宋_GB2312"/>
          <w:b w:val="0"/>
          <w:bCs w:val="0"/>
          <w:sz w:val="32"/>
          <w:szCs w:val="40"/>
          <w:highlight w:val="none"/>
          <w:lang w:eastAsia="zh-CN" w:bidi="ar"/>
        </w:rPr>
        <w:t>未提供材料的不得分。</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 w:cs="Times New Roman"/>
          <w:b/>
          <w:bCs/>
          <w:sz w:val="32"/>
          <w:szCs w:val="40"/>
          <w:highlight w:val="none"/>
          <w:lang w:eastAsia="zh-CN"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2）项目实施计划方案</w:t>
      </w:r>
      <w:r>
        <w:rPr>
          <w:rFonts w:hint="eastAsia" w:ascii="Times New Roman" w:hAnsi="Times New Roman" w:eastAsia="仿宋" w:cs="Times New Roman"/>
          <w:b/>
          <w:bCs/>
          <w:sz w:val="32"/>
          <w:szCs w:val="40"/>
          <w:highlight w:val="none"/>
          <w:lang w:eastAsia="zh-CN" w:bidi="ar"/>
        </w:rPr>
        <w:t>分（满分</w:t>
      </w:r>
      <w:r>
        <w:rPr>
          <w:rFonts w:hint="eastAsia" w:ascii="Times New Roman" w:hAnsi="Times New Roman" w:eastAsia="仿宋" w:cs="Times New Roman"/>
          <w:b/>
          <w:bCs/>
          <w:sz w:val="32"/>
          <w:szCs w:val="40"/>
          <w:highlight w:val="none"/>
          <w:lang w:val="en-US" w:eastAsia="zh-CN" w:bidi="ar"/>
        </w:rPr>
        <w:t>20</w:t>
      </w:r>
      <w:r>
        <w:rPr>
          <w:rFonts w:hint="eastAsia" w:ascii="Times New Roman" w:hAnsi="Times New Roman" w:eastAsia="仿宋" w:cs="Times New Roman"/>
          <w:b/>
          <w:bCs/>
          <w:sz w:val="32"/>
          <w:szCs w:val="40"/>
          <w:highlight w:val="none"/>
          <w:lang w:eastAsia="zh-CN" w:bidi="ar"/>
        </w:rPr>
        <w:t>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bookmarkStart w:id="0" w:name="OLE_LINK18"/>
      <w:r>
        <w:rPr>
          <w:rFonts w:hint="eastAsia" w:ascii="Times New Roman" w:hAnsi="Times New Roman" w:eastAsia="仿宋" w:cs="Times New Roman"/>
          <w:b w:val="0"/>
          <w:bCs w:val="0"/>
          <w:sz w:val="32"/>
          <w:szCs w:val="40"/>
          <w:highlight w:val="none"/>
          <w:lang w:eastAsia="zh-CN" w:bidi="ar"/>
        </w:rPr>
        <w:t>针对“AI赋能千行百业超级联赛”主题宣传片制作服务，</w:t>
      </w:r>
      <w:r>
        <w:rPr>
          <w:rFonts w:hint="eastAsia" w:ascii="Times New Roman" w:hAnsi="Times New Roman" w:eastAsia="仿宋" w:cs="Times New Roman"/>
          <w:b w:val="0"/>
          <w:bCs w:val="0"/>
          <w:sz w:val="32"/>
          <w:szCs w:val="40"/>
          <w:highlight w:val="none"/>
          <w:lang w:val="en-US" w:eastAsia="zh-CN" w:bidi="ar"/>
        </w:rPr>
        <w:t>提供</w:t>
      </w:r>
      <w:r>
        <w:rPr>
          <w:rFonts w:hint="eastAsia" w:ascii="Times New Roman" w:hAnsi="Times New Roman" w:eastAsia="仿宋" w:cs="Times New Roman"/>
          <w:b w:val="0"/>
          <w:bCs w:val="0"/>
          <w:sz w:val="32"/>
          <w:szCs w:val="40"/>
          <w:highlight w:val="none"/>
          <w:lang w:eastAsia="zh-CN" w:bidi="ar"/>
        </w:rPr>
        <w:t>准备执行方案，方案需明确版权归属甲方所有。</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分）：主题契合度、叙事逻辑、AI技术呈现创意性欠缺，交付时长不少于2分钟；分镜脚本完整性、特效方案简单粗糙或与影片风格不符，或技术实现描述模糊不清；成片技术标准不高（采用SONY A7M3及以上专业单反拍摄，分辨率为1080P、帧率为25帧、交付格式为MP4）；导演近具有专科及以下学历，三年内未主导过与本次项目类型相当的视频项目、专业设备清单欠缺，制作周期合理性欠缺、修改响应机制慢。</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10</w:t>
      </w:r>
      <w:r>
        <w:rPr>
          <w:rFonts w:hint="eastAsia" w:ascii="Times New Roman" w:hAnsi="Times New Roman" w:eastAsia="仿宋" w:cs="Times New Roman"/>
          <w:b w:val="0"/>
          <w:bCs w:val="0"/>
          <w:sz w:val="32"/>
          <w:szCs w:val="40"/>
          <w:highlight w:val="none"/>
          <w:lang w:eastAsia="zh-CN" w:bidi="ar"/>
        </w:rPr>
        <w:t>分）：主题契合度、叙事逻辑、AI技术呈现创意性基本满足要求，交付时长不少于2分钟；分镜脚本完整性、后期特效方案基本满足需求，设计和技术实现中规中矩，有一定表现力但缺乏亮点；成片技术标准高（采用FS7及以上专业摄影机拍摄，分辨率为1080P、帧率达到30帧、交付格式为MP4）; 导演近具有本科及以上学历，三年内主导过3个以内与本次项目类型相当的视频项目；项目制作周期合理性一般、修改响应机制较快。</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20</w:t>
      </w:r>
      <w:r>
        <w:rPr>
          <w:rFonts w:hint="eastAsia" w:ascii="Times New Roman" w:hAnsi="Times New Roman" w:eastAsia="仿宋" w:cs="Times New Roman"/>
          <w:b w:val="0"/>
          <w:bCs w:val="0"/>
          <w:sz w:val="32"/>
          <w:szCs w:val="40"/>
          <w:highlight w:val="none"/>
          <w:lang w:eastAsia="zh-CN" w:bidi="ar"/>
        </w:rPr>
        <w:t>分）：</w:t>
      </w:r>
      <w:bookmarkEnd w:id="0"/>
      <w:r>
        <w:rPr>
          <w:rFonts w:hint="eastAsia" w:ascii="Times New Roman" w:hAnsi="Times New Roman" w:eastAsia="仿宋" w:cs="Times New Roman"/>
          <w:b w:val="0"/>
          <w:bCs w:val="0"/>
          <w:sz w:val="32"/>
          <w:szCs w:val="40"/>
          <w:highlight w:val="none"/>
          <w:lang w:eastAsia="zh-CN" w:bidi="ar"/>
        </w:rPr>
        <w:t>主题契合度、叙事逻辑、AI技术呈现创意性强，交付时长不少于2分30秒；分镜脚本完整性、特效方案（包括调色、合成、动画、包装等）设计精良，与影片风格高度统一，能显著提升视觉表现力和信息传达效果，技术实现路径清晰；成片技术标准高（采用ARRI mini及以上电影机拍摄，分辨率达到4K、帧率达到50帧、交付格式为MOV）；导演近具有相关专业本科及以上学历，三年内主导过3个及以上与本次项目类型相当的视频项目；项目制作周期安排合理性强、修改响应机制快。</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未提供材料的不得分。</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 w:cs="Times New Roman"/>
          <w:b/>
          <w:bCs/>
          <w:sz w:val="32"/>
          <w:szCs w:val="40"/>
          <w:highlight w:val="none"/>
          <w:lang w:eastAsia="zh-CN"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3）突发事件处理预案</w:t>
      </w:r>
      <w:r>
        <w:rPr>
          <w:rFonts w:hint="eastAsia" w:ascii="Times New Roman" w:hAnsi="Times New Roman" w:eastAsia="仿宋" w:cs="Times New Roman"/>
          <w:b/>
          <w:bCs/>
          <w:sz w:val="32"/>
          <w:szCs w:val="40"/>
          <w:highlight w:val="none"/>
          <w:lang w:eastAsia="zh-CN" w:bidi="ar"/>
        </w:rPr>
        <w:t>分（满分</w:t>
      </w:r>
      <w:r>
        <w:rPr>
          <w:rFonts w:hint="eastAsia" w:ascii="Times New Roman" w:hAnsi="Times New Roman" w:eastAsia="仿宋" w:cs="Times New Roman"/>
          <w:b/>
          <w:bCs/>
          <w:sz w:val="32"/>
          <w:szCs w:val="40"/>
          <w:highlight w:val="none"/>
          <w:lang w:val="en-US" w:eastAsia="zh-CN" w:bidi="ar"/>
        </w:rPr>
        <w:t>10</w:t>
      </w:r>
      <w:r>
        <w:rPr>
          <w:rFonts w:hint="eastAsia" w:ascii="Times New Roman" w:hAnsi="Times New Roman" w:eastAsia="仿宋" w:cs="Times New Roman"/>
          <w:b/>
          <w:bCs/>
          <w:sz w:val="32"/>
          <w:szCs w:val="40"/>
          <w:highlight w:val="none"/>
          <w:lang w:eastAsia="zh-CN" w:bidi="ar"/>
        </w:rPr>
        <w:t>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2</w:t>
      </w:r>
      <w:r>
        <w:rPr>
          <w:rFonts w:hint="eastAsia" w:ascii="Times New Roman" w:hAnsi="Times New Roman" w:eastAsia="仿宋" w:cs="Times New Roman"/>
          <w:b w:val="0"/>
          <w:bCs w:val="0"/>
          <w:sz w:val="32"/>
          <w:szCs w:val="40"/>
          <w:highlight w:val="none"/>
          <w:lang w:eastAsia="zh-CN" w:bidi="ar"/>
        </w:rPr>
        <w:t>分）：应急预案笼统、简略，在实施过程中可能会处理不当。</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6</w:t>
      </w:r>
      <w:r>
        <w:rPr>
          <w:rFonts w:hint="eastAsia" w:ascii="Times New Roman" w:hAnsi="Times New Roman" w:eastAsia="仿宋" w:cs="Times New Roman"/>
          <w:b w:val="0"/>
          <w:bCs w:val="0"/>
          <w:sz w:val="32"/>
          <w:szCs w:val="40"/>
          <w:highlight w:val="none"/>
          <w:lang w:eastAsia="zh-CN" w:bidi="ar"/>
        </w:rPr>
        <w:t>分）：预案较详细，具备一定的针对性，基本合理可行，流程规范有框架。</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10</w:t>
      </w:r>
      <w:r>
        <w:rPr>
          <w:rFonts w:hint="eastAsia" w:ascii="Times New Roman" w:hAnsi="Times New Roman" w:eastAsia="仿宋" w:cs="Times New Roman"/>
          <w:b w:val="0"/>
          <w:bCs w:val="0"/>
          <w:sz w:val="32"/>
          <w:szCs w:val="40"/>
          <w:highlight w:val="none"/>
          <w:lang w:eastAsia="zh-CN" w:bidi="ar"/>
        </w:rPr>
        <w:t>分）：预案详细完整、针对性强、合理可行、措施得力、流程规范条理明晰。</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未提供</w:t>
      </w:r>
      <w:r>
        <w:rPr>
          <w:rFonts w:hint="eastAsia" w:ascii="Times New Roman" w:hAnsi="Times New Roman" w:eastAsia="仿宋" w:cs="Times New Roman"/>
          <w:b w:val="0"/>
          <w:bCs w:val="0"/>
          <w:sz w:val="32"/>
          <w:szCs w:val="40"/>
          <w:highlight w:val="none"/>
          <w:lang w:val="en-US" w:eastAsia="zh-CN" w:bidi="ar"/>
        </w:rPr>
        <w:t>相关</w:t>
      </w:r>
      <w:r>
        <w:rPr>
          <w:rFonts w:hint="eastAsia" w:ascii="Times New Roman" w:hAnsi="Times New Roman" w:eastAsia="仿宋" w:cs="Times New Roman"/>
          <w:b w:val="0"/>
          <w:bCs w:val="0"/>
          <w:sz w:val="32"/>
          <w:szCs w:val="40"/>
          <w:highlight w:val="none"/>
          <w:lang w:eastAsia="zh-CN" w:bidi="ar"/>
        </w:rPr>
        <w:t>材料的不得分。</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 w:cs="Times New Roman"/>
          <w:b/>
          <w:bCs/>
          <w:color w:val="auto"/>
          <w:sz w:val="32"/>
          <w:szCs w:val="40"/>
          <w:highlight w:val="none"/>
          <w:lang w:bidi="ar"/>
        </w:rPr>
      </w:pPr>
      <w:r>
        <w:rPr>
          <w:rFonts w:hint="eastAsia" w:ascii="Times New Roman" w:hAnsi="Times New Roman" w:eastAsia="仿宋" w:cs="Times New Roman"/>
          <w:b/>
          <w:bCs/>
          <w:color w:val="auto"/>
          <w:sz w:val="32"/>
          <w:szCs w:val="40"/>
          <w:highlight w:val="none"/>
          <w:lang w:bidi="ar"/>
        </w:rPr>
        <w:t>3.商务分……………………………………………</w:t>
      </w:r>
      <w:r>
        <w:rPr>
          <w:rFonts w:hint="eastAsia" w:ascii="Times New Roman" w:hAnsi="Times New Roman" w:eastAsia="仿宋" w:cs="Times New Roman"/>
          <w:b/>
          <w:bCs/>
          <w:color w:val="auto"/>
          <w:sz w:val="32"/>
          <w:szCs w:val="40"/>
          <w:highlight w:val="none"/>
          <w:lang w:val="en-US" w:eastAsia="zh-CN" w:bidi="ar"/>
        </w:rPr>
        <w:t>25</w:t>
      </w:r>
      <w:r>
        <w:rPr>
          <w:rFonts w:hint="eastAsia" w:ascii="Times New Roman" w:hAnsi="Times New Roman" w:eastAsia="仿宋" w:cs="Times New Roman"/>
          <w:b/>
          <w:bCs/>
          <w:color w:val="auto"/>
          <w:sz w:val="32"/>
          <w:szCs w:val="40"/>
          <w:highlight w:val="none"/>
          <w:lang w:bidi="ar"/>
        </w:rPr>
        <w:t>分</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sz w:val="32"/>
          <w:szCs w:val="40"/>
          <w:highlight w:val="none"/>
          <w:lang w:val="en-US" w:eastAsia="zh-CN" w:bidi="ar"/>
        </w:rPr>
        <w:t>（1）项目服务团队成员分</w:t>
      </w:r>
      <w:r>
        <w:rPr>
          <w:rFonts w:hint="eastAsia" w:ascii="仿宋" w:hAnsi="仿宋" w:eastAsia="仿宋" w:cs="仿宋"/>
          <w:b/>
          <w:bCs/>
          <w:color w:val="auto"/>
          <w:sz w:val="32"/>
          <w:szCs w:val="40"/>
          <w:highlight w:val="none"/>
          <w:lang w:bidi="ar"/>
        </w:rPr>
        <w:t>（满分</w:t>
      </w:r>
      <w:r>
        <w:rPr>
          <w:rFonts w:hint="eastAsia" w:ascii="仿宋" w:hAnsi="仿宋" w:eastAsia="仿宋" w:cs="仿宋"/>
          <w:b/>
          <w:bCs/>
          <w:color w:val="auto"/>
          <w:sz w:val="32"/>
          <w:szCs w:val="40"/>
          <w:highlight w:val="none"/>
          <w:lang w:val="en-US" w:eastAsia="zh-CN" w:bidi="ar"/>
        </w:rPr>
        <w:t>10</w:t>
      </w:r>
      <w:r>
        <w:rPr>
          <w:rFonts w:hint="eastAsia" w:ascii="仿宋" w:hAnsi="仿宋" w:eastAsia="仿宋" w:cs="仿宋"/>
          <w:b/>
          <w:bCs/>
          <w:color w:val="auto"/>
          <w:sz w:val="32"/>
          <w:szCs w:val="40"/>
          <w:highlight w:val="none"/>
          <w:lang w:bidi="ar"/>
        </w:rPr>
        <w:t>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2</w:t>
      </w:r>
      <w:r>
        <w:rPr>
          <w:rFonts w:hint="eastAsia" w:ascii="Times New Roman" w:hAnsi="Times New Roman" w:eastAsia="仿宋" w:cs="Times New Roman"/>
          <w:b w:val="0"/>
          <w:bCs w:val="0"/>
          <w:sz w:val="32"/>
          <w:szCs w:val="40"/>
          <w:highlight w:val="none"/>
          <w:lang w:eastAsia="zh-CN" w:bidi="ar"/>
        </w:rPr>
        <w:t>分）：拟派项目负责人宣传片拍摄制作服务经验在3年以内（需提供相关工作履历证明），无相关获奖作品；拟派团队人员在5人以内，经验较少（5年以上相关行业从业经历人员团队占比低于30%），专业技能欠缺（拥有行业内相关证书人员团队占比低于30%），拟派项目团队分工简单，对接与协调能力体现较少，可能会造成管理困扰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6</w:t>
      </w:r>
      <w:r>
        <w:rPr>
          <w:rFonts w:hint="eastAsia" w:ascii="Times New Roman" w:hAnsi="Times New Roman" w:eastAsia="仿宋" w:cs="Times New Roman"/>
          <w:b w:val="0"/>
          <w:bCs w:val="0"/>
          <w:sz w:val="32"/>
          <w:szCs w:val="40"/>
          <w:highlight w:val="none"/>
          <w:lang w:eastAsia="zh-CN" w:bidi="ar"/>
        </w:rPr>
        <w:t>分）：拟派项目负责人具有5年以上10年以内的宣传片拍摄制作服务经验（需提供相关工作履历证明），有相关获奖作品（提供证明）；拟派团队人员在7人以上10人以内，服务经验基本满足需求（5年以上相关行业从业经历人员团队占比低于50%），具备相关的专业能力或技能（拥有行业内相关证书人员团队占比低于50%），拟派项目团队有岗位划分计划，基本可以做到与采购人的常规对接、协调等。</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10</w:t>
      </w:r>
      <w:r>
        <w:rPr>
          <w:rFonts w:hint="eastAsia" w:ascii="Times New Roman" w:hAnsi="Times New Roman" w:eastAsia="仿宋" w:cs="Times New Roman"/>
          <w:b w:val="0"/>
          <w:bCs w:val="0"/>
          <w:sz w:val="32"/>
          <w:szCs w:val="40"/>
          <w:highlight w:val="none"/>
          <w:lang w:eastAsia="zh-CN" w:bidi="ar"/>
        </w:rPr>
        <w:t>分）：拟派项目负责人具有10年以上的宣传片拍摄制作服务经验（需提供相关工作履历证明），有获奖作品（提供证明）或服务于知名客户/重大项目的成功案例；拟派团队人员在10人以上，服务经验丰富（5年以上相关行业从业经历人员团队占比不低于70%），具有专业的能力或技能（拥有行业内相关证书人员团队占比不低于50%），拟派项目团队岗位分工明确，科学合理，能够高效且有效的做好与采购人的对接、协调和服务工作。</w:t>
      </w:r>
    </w:p>
    <w:p>
      <w:pPr>
        <w:pStyle w:val="7"/>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未提供相关材料的不得分。</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lang w:bidi="ar"/>
        </w:rPr>
        <w:t>（</w:t>
      </w:r>
      <w:r>
        <w:rPr>
          <w:rFonts w:hint="eastAsia" w:ascii="仿宋" w:hAnsi="仿宋" w:eastAsia="仿宋" w:cs="仿宋"/>
          <w:b/>
          <w:bCs/>
          <w:color w:val="auto"/>
          <w:sz w:val="32"/>
          <w:szCs w:val="40"/>
          <w:highlight w:val="none"/>
          <w:lang w:val="en-US" w:eastAsia="zh-CN" w:bidi="ar"/>
        </w:rPr>
        <w:t>2</w:t>
      </w:r>
      <w:r>
        <w:rPr>
          <w:rFonts w:hint="eastAsia" w:ascii="仿宋" w:hAnsi="仿宋" w:eastAsia="仿宋" w:cs="仿宋"/>
          <w:b/>
          <w:bCs/>
          <w:color w:val="auto"/>
          <w:sz w:val="32"/>
          <w:szCs w:val="40"/>
          <w:highlight w:val="none"/>
          <w:lang w:bidi="ar"/>
        </w:rPr>
        <w:t>）业绩</w:t>
      </w:r>
      <w:r>
        <w:rPr>
          <w:rFonts w:hint="eastAsia" w:ascii="仿宋" w:hAnsi="仿宋" w:eastAsia="仿宋" w:cs="仿宋"/>
          <w:b/>
          <w:bCs/>
          <w:color w:val="auto"/>
          <w:sz w:val="32"/>
          <w:szCs w:val="40"/>
          <w:highlight w:val="none"/>
        </w:rPr>
        <w:t>分（满分</w:t>
      </w:r>
      <w:r>
        <w:rPr>
          <w:rFonts w:hint="eastAsia" w:ascii="仿宋" w:hAnsi="仿宋" w:eastAsia="仿宋" w:cs="仿宋"/>
          <w:b/>
          <w:bCs/>
          <w:color w:val="auto"/>
          <w:sz w:val="32"/>
          <w:szCs w:val="40"/>
          <w:highlight w:val="none"/>
          <w:lang w:val="en-US" w:eastAsia="zh-CN"/>
        </w:rPr>
        <w:t>1</w:t>
      </w:r>
      <w:r>
        <w:rPr>
          <w:rFonts w:hint="eastAsia" w:ascii="仿宋" w:hAnsi="仿宋" w:eastAsia="仿宋" w:cs="仿宋"/>
          <w:b/>
          <w:bCs/>
          <w:color w:val="auto"/>
          <w:sz w:val="32"/>
          <w:szCs w:val="40"/>
          <w:highlight w:val="none"/>
          <w:lang w:val="en-US" w:eastAsia="zh-CN" w:bidi="ar"/>
        </w:rPr>
        <w:t>5</w:t>
      </w:r>
      <w:r>
        <w:rPr>
          <w:rFonts w:hint="eastAsia" w:ascii="仿宋" w:hAnsi="仿宋" w:eastAsia="仿宋" w:cs="仿宋"/>
          <w:b/>
          <w:bCs/>
          <w:color w:val="auto"/>
          <w:sz w:val="32"/>
          <w:szCs w:val="40"/>
          <w:highlight w:val="none"/>
        </w:rPr>
        <w:t>分）</w:t>
      </w:r>
    </w:p>
    <w:p>
      <w:pPr>
        <w:pStyle w:val="7"/>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供应商具有类似项目业绩的，每个业绩得5分，最多得15分。需提供2023年1月1日至今类似项目合同复印件。</w:t>
      </w:r>
    </w:p>
    <w:p>
      <w:pPr>
        <w:pStyle w:val="7"/>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 xml:space="preserve">未提有效合同复印件的不得分； </w:t>
      </w:r>
    </w:p>
    <w:p>
      <w:pPr>
        <w:pStyle w:val="7"/>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注：供应商需要提供能够证明上述业绩真实性的合同复印件，在不违背评分部分特别要求的情况下，合同复印件中必须至少包括合同的甲乙双方、合同详细标的和双方签署页；供应商应在不涉及商业秘密的前提下尽可能提供详细的合同复印件内容；如未按上述要求的，可经评审小组认定为无效业绩。</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sz w:val="32"/>
          <w:szCs w:val="40"/>
          <w:highlight w:val="none"/>
        </w:rPr>
        <w:t>4.</w:t>
      </w:r>
      <w:r>
        <w:rPr>
          <w:rFonts w:hint="eastAsia" w:ascii="仿宋" w:hAnsi="仿宋" w:eastAsia="仿宋" w:cs="仿宋"/>
          <w:b w:val="0"/>
          <w:bCs w:val="0"/>
          <w:color w:val="auto"/>
          <w:sz w:val="32"/>
          <w:szCs w:val="40"/>
          <w:highlight w:val="none"/>
          <w:lang w:bidi="ar"/>
        </w:rPr>
        <w:t>总得分＝1＋2＋3</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eastAsia" w:ascii="黑体" w:hAnsi="黑体" w:eastAsia="黑体" w:cs="黑体"/>
          <w:sz w:val="32"/>
          <w:szCs w:val="40"/>
        </w:rPr>
      </w:pPr>
      <w:r>
        <w:rPr>
          <w:rFonts w:hint="eastAsia" w:ascii="黑体" w:hAnsi="黑体" w:eastAsia="黑体" w:cs="黑体"/>
          <w:sz w:val="32"/>
          <w:szCs w:val="40"/>
        </w:rPr>
        <w:t>四、成交候选</w:t>
      </w:r>
      <w:r>
        <w:rPr>
          <w:rFonts w:hint="eastAsia" w:ascii="黑体" w:hAnsi="黑体" w:eastAsia="黑体" w:cs="黑体"/>
          <w:sz w:val="32"/>
          <w:szCs w:val="40"/>
          <w:lang w:eastAsia="zh-CN"/>
        </w:rPr>
        <w:t>供应商</w:t>
      </w:r>
      <w:r>
        <w:rPr>
          <w:rFonts w:hint="eastAsia" w:ascii="黑体" w:hAnsi="黑体" w:eastAsia="黑体" w:cs="黑体"/>
          <w:sz w:val="32"/>
          <w:szCs w:val="40"/>
        </w:rPr>
        <w:t>推荐原则</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评审小组</w:t>
      </w:r>
      <w:r>
        <w:rPr>
          <w:rFonts w:hint="eastAsia" w:ascii="仿宋" w:hAnsi="仿宋" w:eastAsia="仿宋" w:cs="仿宋"/>
          <w:color w:val="auto"/>
          <w:kern w:val="0"/>
          <w:sz w:val="32"/>
          <w:szCs w:val="40"/>
          <w:highlight w:val="none"/>
          <w:lang w:val="en-US" w:eastAsia="zh-CN" w:bidi="ar"/>
        </w:rPr>
        <w:t>按照评审得分由高到低顺序推荐3名以上成交候选供应商，总得分相同时，按照最后报价由低到高的顺序排列。总得分且最后报价相同的，按照技术指标优劣顺序排列。</w:t>
      </w:r>
      <w:r>
        <w:rPr>
          <w:rFonts w:hint="eastAsia" w:ascii="仿宋" w:hAnsi="仿宋" w:eastAsia="仿宋" w:cs="仿宋"/>
          <w:color w:val="auto"/>
          <w:sz w:val="32"/>
          <w:szCs w:val="40"/>
          <w:highlight w:val="none"/>
        </w:rPr>
        <w:t>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eastAsia" w:ascii="黑体" w:hAnsi="黑体" w:eastAsia="黑体" w:cs="黑体"/>
          <w:sz w:val="32"/>
          <w:szCs w:val="40"/>
        </w:rPr>
      </w:pPr>
      <w:r>
        <w:rPr>
          <w:rFonts w:hint="eastAsia" w:ascii="黑体" w:hAnsi="黑体" w:eastAsia="黑体" w:cs="黑体"/>
          <w:sz w:val="32"/>
          <w:szCs w:val="40"/>
          <w:lang w:val="en-US" w:eastAsia="zh-CN"/>
        </w:rPr>
        <w:t xml:space="preserve">五、低于成本的报价审查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为保证价格的正当竞争，同时也是为了保证服务质量及合同 的正常履行，评审小组在采购过程中发</w:t>
      </w:r>
      <w:r>
        <w:rPr>
          <w:rFonts w:hint="eastAsia" w:ascii="仿宋_GB2312" w:hAnsi="仿宋_GB2312" w:eastAsia="仿宋_GB2312" w:cs="仿宋_GB2312"/>
          <w:color w:val="auto"/>
          <w:kern w:val="0"/>
          <w:sz w:val="32"/>
          <w:szCs w:val="40"/>
          <w:highlight w:val="none"/>
          <w:lang w:val="en-US" w:eastAsia="zh-CN" w:bidi="ar"/>
        </w:rPr>
        <w:t>现供应商的总报价明显低于其他供应商的总报价或者明显低于采购预算价，有理由怀疑其报价可能低于其成本的，要求其在评标现场合理的时间内提供书面说明，并提交相关证明材料；供应商不能证明其报价合理性的，评审小组应当将其作为无效投标处理。提交相关的证明材料为下列材料之一：</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仿宋_GB2312" w:hAnsi="仿宋_GB2312" w:eastAsia="仿宋_GB2312" w:cs="仿宋_GB2312"/>
          <w:color w:val="auto"/>
          <w:kern w:val="0"/>
          <w:sz w:val="32"/>
          <w:szCs w:val="40"/>
          <w:highlight w:val="none"/>
          <w:lang w:val="en-US" w:eastAsia="zh-CN" w:bidi="ar"/>
        </w:rPr>
        <w:t>①本项目成本分析报告；</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仿宋_GB2312" w:hAnsi="仿宋_GB2312" w:eastAsia="仿宋_GB2312" w:cs="仿宋_GB2312"/>
          <w:color w:val="auto"/>
          <w:kern w:val="0"/>
          <w:sz w:val="32"/>
          <w:szCs w:val="40"/>
          <w:highlight w:val="none"/>
          <w:lang w:val="en-US" w:eastAsia="zh-CN" w:bidi="ar"/>
        </w:rPr>
        <w:t>②税务部门开具的拟派项目组人员的《依法缴纳个人所得税或依法免缴个人所得税的凭证(与本次投标所提供社保同月份)》（原件现场核查）；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outlineLvl w:val="0"/>
        <w:rPr>
          <w:rFonts w:hint="eastAsia" w:ascii="Times New Roman" w:hAnsi="Times New Roman" w:eastAsia="仿宋" w:cs="Times New Roman"/>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③</w:t>
      </w:r>
      <w:r>
        <w:rPr>
          <w:rFonts w:hint="eastAsia" w:ascii="Times New Roman" w:hAnsi="Times New Roman" w:eastAsia="仿宋" w:cs="Times New Roman"/>
          <w:color w:val="000000"/>
          <w:kern w:val="0"/>
          <w:sz w:val="32"/>
          <w:szCs w:val="40"/>
          <w:highlight w:val="none"/>
          <w:lang w:val="en-US" w:eastAsia="zh-CN" w:bidi="ar"/>
        </w:rPr>
        <w:t>2022~2024年度，如有2025年度的，则提交2025</w:t>
      </w:r>
      <w:r>
        <w:rPr>
          <w:rFonts w:hint="eastAsia" w:ascii="Times New Roman" w:hAnsi="Times New Roman" w:eastAsia="仿宋" w:cs="Times New Roman"/>
          <w:color w:val="auto"/>
          <w:kern w:val="0"/>
          <w:sz w:val="32"/>
          <w:szCs w:val="40"/>
          <w:highlight w:val="none"/>
          <w:lang w:val="en-US" w:eastAsia="zh-CN" w:bidi="ar"/>
        </w:rPr>
        <w:t>年度经第三方具备审计资质的机构出具的审计报告（包括其固定资产成本及折旧、管理成本、人工费成本（如人员工资、奖金、福利及差旅等费用）、技术成本、税收等所有成本及利润）复印件（原件现场核查），同时提供第三方审计机构的资质证书、人员从业证书、委托合同复 印件（原件现场核查）；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④提供至少3个类似项目业绩的费用成本组成明细（有合同双方盖章证明，提供</w:t>
      </w:r>
      <w:r>
        <w:rPr>
          <w:rFonts w:hint="eastAsia" w:ascii="仿宋_GB2312" w:hAnsi="仿宋_GB2312" w:eastAsia="仿宋_GB2312" w:cs="仿宋_GB2312"/>
          <w:color w:val="auto"/>
          <w:kern w:val="0"/>
          <w:sz w:val="32"/>
          <w:szCs w:val="40"/>
          <w:highlight w:val="none"/>
          <w:lang w:val="en-US" w:eastAsia="zh-CN" w:bidi="ar"/>
        </w:rPr>
        <w:t>复印件，原件现场核查），项目成本组成明细需经第三方造价咨询单位出具的投标报价审核文件复印件（原件现场核查），同时提供第三方造价咨询单位的资质证书、人员从业证书、委托合同复印件（原件现场核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32"/>
          <w:szCs w:val="40"/>
          <w:highlight w:val="none"/>
          <w:lang w:val="en-US" w:eastAsia="zh-CN" w:bidi="ar"/>
        </w:rPr>
        <w:t>⑤其他可以证明报价合理性的材料。</w:t>
      </w:r>
    </w:p>
    <w:p>
      <w:pPr>
        <w:rPr>
          <w:rFonts w:hint="eastAsia" w:ascii="仿宋_GB2312" w:hAnsi="仿宋_GB2312" w:eastAsia="仿宋_GB2312" w:cs="仿宋_GB2312"/>
          <w:highlight w:val="yellow"/>
        </w:rPr>
      </w:pPr>
    </w:p>
    <w:p>
      <w:pPr>
        <w:keepNext w:val="0"/>
        <w:keepLines w:val="0"/>
        <w:widowControl/>
        <w:suppressLineNumbers w:val="0"/>
        <w:spacing w:line="560" w:lineRule="exact"/>
        <w:ind w:firstLine="0" w:firstLineChars="0"/>
        <w:jc w:val="left"/>
        <w:rPr>
          <w:rFonts w:hint="eastAsia" w:ascii="仿宋_GB2312" w:hAnsi="仿宋_GB2312" w:eastAsia="仿宋_GB2312" w:cs="仿宋_GB2312"/>
          <w:sz w:val="32"/>
          <w:szCs w:val="40"/>
          <w:highlight w:val="yello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12347CF"/>
    <w:rsid w:val="0119677B"/>
    <w:rsid w:val="052878D5"/>
    <w:rsid w:val="06267537"/>
    <w:rsid w:val="0D9D0734"/>
    <w:rsid w:val="0EB634CB"/>
    <w:rsid w:val="10763205"/>
    <w:rsid w:val="13D74C58"/>
    <w:rsid w:val="14A93475"/>
    <w:rsid w:val="17163A31"/>
    <w:rsid w:val="1A5B334B"/>
    <w:rsid w:val="1A60028F"/>
    <w:rsid w:val="1E1F6FCD"/>
    <w:rsid w:val="1F803A53"/>
    <w:rsid w:val="20CB10D8"/>
    <w:rsid w:val="298E56A9"/>
    <w:rsid w:val="2AB73F44"/>
    <w:rsid w:val="2EDD74AE"/>
    <w:rsid w:val="315A14BD"/>
    <w:rsid w:val="33E63DD7"/>
    <w:rsid w:val="37FF77AC"/>
    <w:rsid w:val="3B9855D2"/>
    <w:rsid w:val="3C18397E"/>
    <w:rsid w:val="3C944BD9"/>
    <w:rsid w:val="3DAB1EF5"/>
    <w:rsid w:val="412347CF"/>
    <w:rsid w:val="423B2CBE"/>
    <w:rsid w:val="45284CA4"/>
    <w:rsid w:val="4ADA4ABA"/>
    <w:rsid w:val="53AA5514"/>
    <w:rsid w:val="56064695"/>
    <w:rsid w:val="57AEEB05"/>
    <w:rsid w:val="584C59E9"/>
    <w:rsid w:val="5DE025B2"/>
    <w:rsid w:val="5F7F3DBC"/>
    <w:rsid w:val="606D6F96"/>
    <w:rsid w:val="616A10DA"/>
    <w:rsid w:val="62EA0BF5"/>
    <w:rsid w:val="62FB10F8"/>
    <w:rsid w:val="65610A38"/>
    <w:rsid w:val="6B4D1FC7"/>
    <w:rsid w:val="6B5A6EAC"/>
    <w:rsid w:val="6E773F3E"/>
    <w:rsid w:val="70DD0956"/>
    <w:rsid w:val="774A589B"/>
    <w:rsid w:val="783A2DBF"/>
    <w:rsid w:val="7A793F69"/>
    <w:rsid w:val="7AF33ACB"/>
    <w:rsid w:val="7BCE7889"/>
    <w:rsid w:val="7DED1A3A"/>
    <w:rsid w:val="7ECD54A1"/>
    <w:rsid w:val="EA79E3E2"/>
    <w:rsid w:val="FDFB61E8"/>
    <w:rsid w:val="FFF7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rPr>
      <w:rFonts w:ascii="Times New Roman" w:hAnsi="Times New Roman" w:eastAsia="宋体"/>
      <w:sz w:val="28"/>
    </w:rPr>
  </w:style>
  <w:style w:type="paragraph" w:styleId="3">
    <w:name w:val="footer"/>
    <w:basedOn w:val="1"/>
    <w:qFormat/>
    <w:uiPriority w:val="0"/>
    <w:pPr>
      <w:tabs>
        <w:tab w:val="center" w:pos="4153"/>
        <w:tab w:val="right" w:pos="8306"/>
      </w:tabs>
      <w:snapToGrid w:val="0"/>
    </w:pPr>
    <w:rPr>
      <w:sz w:val="18"/>
    </w:rPr>
  </w:style>
  <w:style w:type="character" w:styleId="6">
    <w:name w:val="Strong"/>
    <w:basedOn w:val="5"/>
    <w:qFormat/>
    <w:uiPriority w:val="0"/>
    <w:rPr>
      <w:b/>
    </w:rPr>
  </w:style>
  <w:style w:type="paragraph" w:customStyle="1" w:styleId="7">
    <w:name w:val="表格内容"/>
    <w:qFormat/>
    <w:uiPriority w:val="0"/>
    <w:pPr>
      <w:spacing w:after="0" w:line="240" w:lineRule="auto"/>
      <w:jc w:val="both"/>
    </w:pPr>
    <w:rPr>
      <w:rFonts w:ascii="宋体"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11</Pages>
  <Words>4520</Words>
  <Characters>4681</Characters>
  <Lines>0</Lines>
  <Paragraphs>0</Paragraphs>
  <TotalTime>1</TotalTime>
  <ScaleCrop>false</ScaleCrop>
  <LinksUpToDate>false</LinksUpToDate>
  <CharactersWithSpaces>4691</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2025-06-10T03:28:00Z</dcterms:created>
  <dc:creator>WangQ</dc:creator>
  <cp:lastModifiedBy>Ryan</cp:lastModifiedBy>
  <dcterms:modified xsi:type="dcterms:W3CDTF">2025-07-31T03:35:41Z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998431406455453B984F1502BA2E7011</vt:lpwstr>
  </property>
  <property fmtid="{D5CDD505-2E9C-101B-9397-08002B2CF9AE}" pid="4" name="KSOTemplateDocerSaveRecord">
    <vt:lpwstr>eyJoZGlkIjoiYjcxNzI1YTQ4ZGVkOTc4NTc4YTljNDI0YTFjYjUzMWMiLCJ1c2VySWQiOiI0OTc1MzI4MDQifQ==</vt:lpwstr>
  </property>
</Properties>
</file>